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821B1" w14:textId="0AA1883C" w:rsidR="00142832" w:rsidRDefault="006405ED" w:rsidP="00E96F95">
      <w:r w:rsidRPr="00B85FCD">
        <w:rPr>
          <w:noProof/>
        </w:rPr>
        <mc:AlternateContent>
          <mc:Choice Requires="wps">
            <w:drawing>
              <wp:anchor distT="0" distB="0" distL="114300" distR="114300" simplePos="0" relativeHeight="251658240" behindDoc="0" locked="0" layoutInCell="1" allowOverlap="1" wp14:anchorId="3B503CD5" wp14:editId="66974622">
                <wp:simplePos x="0" y="0"/>
                <wp:positionH relativeFrom="page">
                  <wp:posOffset>0</wp:posOffset>
                </wp:positionH>
                <wp:positionV relativeFrom="page">
                  <wp:posOffset>7498080</wp:posOffset>
                </wp:positionV>
                <wp:extent cx="6966060" cy="2724785"/>
                <wp:effectExtent l="0" t="0" r="6350" b="0"/>
                <wp:wrapNone/>
                <wp:docPr id="87" name="Zone de texte 3" title="Titre et sous-titre"/>
                <wp:cNvGraphicFramePr/>
                <a:graphic xmlns:a="http://schemas.openxmlformats.org/drawingml/2006/main">
                  <a:graphicData uri="http://schemas.microsoft.com/office/word/2010/wordprocessingShape">
                    <wps:wsp>
                      <wps:cNvSpPr txBox="1"/>
                      <wps:spPr>
                        <a:xfrm>
                          <a:off x="0" y="0"/>
                          <a:ext cx="6966060" cy="2724785"/>
                        </a:xfrm>
                        <a:prstGeom prst="rect">
                          <a:avLst/>
                        </a:prstGeom>
                        <a:noFill/>
                        <a:ln w="6350">
                          <a:noFill/>
                        </a:ln>
                      </wps:spPr>
                      <wps:txbx>
                        <w:txbxContent>
                          <w:sdt>
                            <w:sdtPr>
                              <w:rPr>
                                <w:i/>
                                <w:color w:val="262626" w:themeColor="text1" w:themeTint="D9"/>
                                <w:sz w:val="32"/>
                                <w:szCs w:val="32"/>
                              </w:rPr>
                              <w:alias w:val="Auteur"/>
                              <w:tag w:val=""/>
                              <w:id w:val="-1376464533"/>
                              <w:dataBinding w:prefixMappings="xmlns:ns0='http://purl.org/dc/elements/1.1/' xmlns:ns1='http://schemas.openxmlformats.org/package/2006/metadata/core-properties' " w:xpath="/ns1:coreProperties[1]/ns0:creator[1]" w:storeItemID="{6C3C8BC8-F283-45AE-878A-BAB7291924A1}"/>
                              <w15:appearance w15:val="hidden"/>
                              <w:text/>
                            </w:sdtPr>
                            <w:sdtContent>
                              <w:p w14:paraId="3DE05F28" w14:textId="289FBFDB" w:rsidR="00EA04F1" w:rsidRPr="00217E3A" w:rsidRDefault="009C170D">
                                <w:pPr>
                                  <w:pStyle w:val="Sansinterligne"/>
                                  <w:spacing w:after="480"/>
                                  <w:rPr>
                                    <w:i/>
                                    <w:color w:val="262626" w:themeColor="text1" w:themeTint="D9"/>
                                    <w:sz w:val="32"/>
                                    <w:szCs w:val="32"/>
                                  </w:rPr>
                                </w:pPr>
                                <w:r>
                                  <w:rPr>
                                    <w:i/>
                                    <w:color w:val="262626" w:themeColor="text1" w:themeTint="D9"/>
                                    <w:sz w:val="32"/>
                                    <w:szCs w:val="32"/>
                                  </w:rPr>
                                  <w:t>Pierre-Ange Delbary Rouillé</w:t>
                                </w:r>
                              </w:p>
                            </w:sdtContent>
                          </w:sdt>
                          <w:p w14:paraId="63AF499C" w14:textId="4FF45979" w:rsidR="00EA04F1" w:rsidRPr="00217E3A" w:rsidRDefault="00EA04F1">
                            <w:pPr>
                              <w:pStyle w:val="Sansinterligne"/>
                              <w:rPr>
                                <w:i/>
                                <w:color w:val="262626" w:themeColor="text1" w:themeTint="D9"/>
                                <w:sz w:val="26"/>
                                <w:szCs w:val="26"/>
                              </w:rPr>
                            </w:pPr>
                            <w:r w:rsidRPr="00217E3A">
                              <w:rPr>
                                <w:i/>
                                <w:color w:val="262626" w:themeColor="text1" w:themeTint="D9"/>
                                <w:sz w:val="26"/>
                                <w:szCs w:val="26"/>
                              </w:rPr>
                              <w:t xml:space="preserve">Word count : </w:t>
                            </w:r>
                            <w:r w:rsidR="003F5B91" w:rsidRPr="00217E3A">
                              <w:rPr>
                                <w:i/>
                                <w:color w:val="262626" w:themeColor="text1" w:themeTint="D9"/>
                                <w:sz w:val="26"/>
                                <w:szCs w:val="26"/>
                              </w:rPr>
                              <w:t>21</w:t>
                            </w:r>
                            <w:r w:rsidR="00C64D42" w:rsidRPr="00217E3A">
                              <w:rPr>
                                <w:i/>
                                <w:color w:val="262626" w:themeColor="text1" w:themeTint="D9"/>
                                <w:sz w:val="26"/>
                                <w:szCs w:val="26"/>
                              </w:rPr>
                              <w:t>82</w:t>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503CD5" id="_x0000_t202" coordsize="21600,21600" o:spt="202" path="m,l,21600r21600,l21600,xe">
                <v:stroke joinstyle="miter"/>
                <v:path gradientshapeok="t" o:connecttype="rect"/>
              </v:shapetype>
              <v:shape id="Zone de texte 3" o:spid="_x0000_s1026" type="#_x0000_t202" alt="Titre : Titre et sous-titre" style="position:absolute;margin-left:0;margin-top:590.4pt;width:548.5pt;height:21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" filled="f" stroked="f" strokeweight=".5pt">
                <v:textbox inset="93.6pt,7.2pt,0,1in">
                  <w:txbxContent>
                    <w:sdt>
                      <w:sdtPr>
                        <w:rPr>
                          <w:i/>
                          <w:color w:val="262626" w:themeColor="text1" w:themeTint="D9"/>
                          <w:sz w:val="32"/>
                          <w:szCs w:val="32"/>
                        </w:rPr>
                        <w:alias w:val="Auteur"/>
                        <w:tag w:val=""/>
                        <w:id w:val="-1376464533"/>
                        <w:dataBinding w:prefixMappings="xmlns:ns0='http://purl.org/dc/elements/1.1/' xmlns:ns1='http://schemas.openxmlformats.org/package/2006/metadata/core-properties' " w:xpath="/ns1:coreProperties[1]/ns0:creator[1]" w:storeItemID="{6C3C8BC8-F283-45AE-878A-BAB7291924A1}"/>
                        <w15:appearance w15:val="hidden"/>
                        <w:text/>
                      </w:sdtPr>
                      <w:sdtContent>
                        <w:p w14:paraId="3DE05F28" w14:textId="289FBFDB" w:rsidR="00EA04F1" w:rsidRPr="00217E3A" w:rsidRDefault="009C170D">
                          <w:pPr>
                            <w:pStyle w:val="Sansinterligne"/>
                            <w:spacing w:after="480"/>
                            <w:rPr>
                              <w:i/>
                              <w:color w:val="262626" w:themeColor="text1" w:themeTint="D9"/>
                              <w:sz w:val="32"/>
                              <w:szCs w:val="32"/>
                            </w:rPr>
                          </w:pPr>
                          <w:r>
                            <w:rPr>
                              <w:i/>
                              <w:color w:val="262626" w:themeColor="text1" w:themeTint="D9"/>
                              <w:sz w:val="32"/>
                              <w:szCs w:val="32"/>
                            </w:rPr>
                            <w:t>Pierre-Ange Delbary Rouillé</w:t>
                          </w:r>
                        </w:p>
                      </w:sdtContent>
                    </w:sdt>
                    <w:p w14:paraId="63AF499C" w14:textId="4FF45979" w:rsidR="00EA04F1" w:rsidRPr="00217E3A" w:rsidRDefault="00EA04F1">
                      <w:pPr>
                        <w:pStyle w:val="Sansinterligne"/>
                        <w:rPr>
                          <w:i/>
                          <w:color w:val="262626" w:themeColor="text1" w:themeTint="D9"/>
                          <w:sz w:val="26"/>
                          <w:szCs w:val="26"/>
                        </w:rPr>
                      </w:pPr>
                      <w:r w:rsidRPr="00217E3A">
                        <w:rPr>
                          <w:i/>
                          <w:color w:val="262626" w:themeColor="text1" w:themeTint="D9"/>
                          <w:sz w:val="26"/>
                          <w:szCs w:val="26"/>
                        </w:rPr>
                        <w:t xml:space="preserve">Word count : </w:t>
                      </w:r>
                      <w:r w:rsidR="003F5B91" w:rsidRPr="00217E3A">
                        <w:rPr>
                          <w:i/>
                          <w:color w:val="262626" w:themeColor="text1" w:themeTint="D9"/>
                          <w:sz w:val="26"/>
                          <w:szCs w:val="26"/>
                        </w:rPr>
                        <w:t>21</w:t>
                      </w:r>
                      <w:r w:rsidR="00C64D42" w:rsidRPr="00217E3A">
                        <w:rPr>
                          <w:i/>
                          <w:color w:val="262626" w:themeColor="text1" w:themeTint="D9"/>
                          <w:sz w:val="26"/>
                          <w:szCs w:val="26"/>
                        </w:rPr>
                        <w:t>82</w:t>
                      </w:r>
                    </w:p>
                  </w:txbxContent>
                </v:textbox>
                <w10:wrap anchorx="page" anchory="page"/>
              </v:shape>
            </w:pict>
          </mc:Fallback>
        </mc:AlternateContent>
      </w:r>
      <w:r w:rsidR="00EA04F1" w:rsidRPr="00B85FCD">
        <w:rPr>
          <w:noProof/>
        </w:rPr>
        <mc:AlternateContent>
          <mc:Choice Requires="wps">
            <w:drawing>
              <wp:anchor distT="0" distB="0" distL="114300" distR="114300" simplePos="0" relativeHeight="251658242" behindDoc="1" locked="0" layoutInCell="1" allowOverlap="1" wp14:anchorId="5A19EAE9" wp14:editId="7BE46D5E">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88" name="Connecteur droit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a="http://schemas.openxmlformats.org/drawingml/2006/main" xmlns:arto="http://schemas.microsoft.com/office/word/2006/arto">
            <w:pict>
              <v:line id="Connecteur droit 2"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o:spid="_x0000_s1026" strokecolor="#272727 [2749]" strokeweight="2.25pt" from="0,0" to="0,121.5pt" w14:anchorId="56635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">
                <v:stroke joinstyle="miter"/>
                <w10:wrap anchorx="page" anchory="page"/>
              </v:line>
            </w:pict>
          </mc:Fallback>
        </mc:AlternateContent>
      </w:r>
      <w:r w:rsidR="00697D31" w:rsidRPr="00B85FCD">
        <w:rPr>
          <w:noProof/>
        </w:rPr>
        <mc:AlternateContent>
          <mc:Choice Requires="wps">
            <w:drawing>
              <wp:anchor distT="0" distB="0" distL="114300" distR="114300" simplePos="0" relativeHeight="251658241" behindDoc="0" locked="0" layoutInCell="1" allowOverlap="1" wp14:anchorId="08B7D435" wp14:editId="647CE206">
                <wp:simplePos x="0" y="0"/>
                <wp:positionH relativeFrom="page">
                  <wp:posOffset>0</wp:posOffset>
                </wp:positionH>
                <wp:positionV relativeFrom="page">
                  <wp:posOffset>1595120</wp:posOffset>
                </wp:positionV>
                <wp:extent cx="6867525" cy="6478270"/>
                <wp:effectExtent l="0" t="0" r="3175" b="0"/>
                <wp:wrapNone/>
                <wp:docPr id="89" name="Zone de texte 1" title="Titre et sous-titre"/>
                <wp:cNvGraphicFramePr/>
                <a:graphic xmlns:a="http://schemas.openxmlformats.org/drawingml/2006/main">
                  <a:graphicData uri="http://schemas.microsoft.com/office/word/2010/wordprocessingShape">
                    <wps:wsp>
                      <wps:cNvSpPr txBox="1"/>
                      <wps:spPr>
                        <a:xfrm>
                          <a:off x="0" y="0"/>
                          <a:ext cx="6867525" cy="6478270"/>
                        </a:xfrm>
                        <a:prstGeom prst="rect">
                          <a:avLst/>
                        </a:prstGeom>
                        <a:noFill/>
                        <a:ln w="6350">
                          <a:noFill/>
                        </a:ln>
                      </wps:spPr>
                      <wps:txbx>
                        <w:txbxContent>
                          <w:p w14:paraId="550A2684" w14:textId="77777777" w:rsidR="006405ED" w:rsidRPr="00AE6CFE" w:rsidRDefault="006405ED" w:rsidP="006405ED">
                            <w:pPr>
                              <w:spacing w:after="900"/>
                              <w:rPr>
                                <w:rFonts w:ascii="Calibri Light" w:hAnsi="Calibri Light" w:cs="Calibri Light"/>
                                <w:i/>
                                <w:iCs/>
                                <w:caps/>
                                <w:color w:val="262626" w:themeColor="text1" w:themeTint="D9"/>
                                <w:sz w:val="68"/>
                                <w:szCs w:val="68"/>
                                <w:lang w:val="en-US"/>
                              </w:rPr>
                            </w:pPr>
                            <w:r w:rsidRPr="00AE6CFE">
                              <w:rPr>
                                <w:rFonts w:ascii="Calibri Light" w:eastAsia="Arial" w:hAnsi="Calibri Light" w:cs="Calibri Light"/>
                                <w:i/>
                                <w:iCs/>
                                <w:caps/>
                                <w:color w:val="262626" w:themeColor="text1" w:themeTint="D9"/>
                                <w:sz w:val="68"/>
                                <w:szCs w:val="68"/>
                                <w:lang w:val="en-US"/>
                              </w:rPr>
                              <w:t>To what extent did the abandonment of the gold standard exchange on September 23, 1971 by Nixon contribute to the general crisis of the 70’s?</w:t>
                            </w:r>
                          </w:p>
                          <w:sdt>
                            <w:sdtPr>
                              <w:rPr>
                                <w:color w:val="262626" w:themeColor="text1" w:themeTint="D9"/>
                                <w:sz w:val="36"/>
                                <w:szCs w:val="36"/>
                              </w:rPr>
                              <w:alias w:val="Sous-titre"/>
                              <w:tag w:val=""/>
                              <w:id w:val="467943297"/>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16DD7429" w14:textId="77777777" w:rsidR="00352CAE" w:rsidRPr="00990D3E" w:rsidRDefault="00B66252">
                                <w:pPr>
                                  <w:rPr>
                                    <w:i/>
                                    <w:color w:val="262626" w:themeColor="text1" w:themeTint="D9"/>
                                    <w:sz w:val="36"/>
                                    <w:szCs w:val="36"/>
                                  </w:rPr>
                                </w:pPr>
                                <w:r w:rsidRPr="00990D3E">
                                  <w:rPr>
                                    <w:color w:val="262626" w:themeColor="text1" w:themeTint="D9"/>
                                    <w:sz w:val="36"/>
                                    <w:szCs w:val="36"/>
                                  </w:rPr>
                                  <w:t>History Internal assessment 2025</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B7D435" id="Zone de texte 1" o:spid="_x0000_s1027" type="#_x0000_t202" alt="Titre : Titre et sous-titre" style="position:absolute;margin-left:0;margin-top:125.6pt;width:540.75pt;height:510.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" filled="f" stroked="f" strokeweight=".5pt">
                <v:textbox inset="93.6pt,,0">
                  <w:txbxContent>
                    <w:p w14:paraId="550A2684" w14:textId="77777777" w:rsidR="006405ED" w:rsidRPr="00AE6CFE" w:rsidRDefault="006405ED" w:rsidP="006405ED">
                      <w:pPr>
                        <w:spacing w:after="900"/>
                        <w:rPr>
                          <w:rFonts w:ascii="Calibri Light" w:hAnsi="Calibri Light" w:cs="Calibri Light"/>
                          <w:i/>
                          <w:iCs/>
                          <w:caps/>
                          <w:color w:val="262626" w:themeColor="text1" w:themeTint="D9"/>
                          <w:sz w:val="68"/>
                          <w:szCs w:val="68"/>
                          <w:lang w:val="en-US"/>
                        </w:rPr>
                      </w:pPr>
                      <w:r w:rsidRPr="00AE6CFE">
                        <w:rPr>
                          <w:rFonts w:ascii="Calibri Light" w:eastAsia="Arial" w:hAnsi="Calibri Light" w:cs="Calibri Light"/>
                          <w:i/>
                          <w:iCs/>
                          <w:caps/>
                          <w:color w:val="262626" w:themeColor="text1" w:themeTint="D9"/>
                          <w:sz w:val="68"/>
                          <w:szCs w:val="68"/>
                          <w:lang w:val="en-US"/>
                        </w:rPr>
                        <w:t xml:space="preserve">To what extent did the abandonment of the gold standard exchange on September 23, </w:t>
                      </w:r>
                      <w:proofErr w:type="gramStart"/>
                      <w:r w:rsidRPr="00AE6CFE">
                        <w:rPr>
                          <w:rFonts w:ascii="Calibri Light" w:eastAsia="Arial" w:hAnsi="Calibri Light" w:cs="Calibri Light"/>
                          <w:i/>
                          <w:iCs/>
                          <w:caps/>
                          <w:color w:val="262626" w:themeColor="text1" w:themeTint="D9"/>
                          <w:sz w:val="68"/>
                          <w:szCs w:val="68"/>
                          <w:lang w:val="en-US"/>
                        </w:rPr>
                        <w:t>1971</w:t>
                      </w:r>
                      <w:proofErr w:type="gramEnd"/>
                      <w:r w:rsidRPr="00AE6CFE">
                        <w:rPr>
                          <w:rFonts w:ascii="Calibri Light" w:eastAsia="Arial" w:hAnsi="Calibri Light" w:cs="Calibri Light"/>
                          <w:i/>
                          <w:iCs/>
                          <w:caps/>
                          <w:color w:val="262626" w:themeColor="text1" w:themeTint="D9"/>
                          <w:sz w:val="68"/>
                          <w:szCs w:val="68"/>
                          <w:lang w:val="en-US"/>
                        </w:rPr>
                        <w:t xml:space="preserve"> by Nixon contribute to the general crisis of the 70’s?</w:t>
                      </w:r>
                    </w:p>
                    <w:sdt>
                      <w:sdtPr>
                        <w:rPr>
                          <w:color w:val="262626" w:themeColor="text1" w:themeTint="D9"/>
                          <w:sz w:val="36"/>
                          <w:szCs w:val="36"/>
                        </w:rPr>
                        <w:alias w:val="Sous-titre"/>
                        <w:tag w:val=""/>
                        <w:id w:val="467943297"/>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16DD7429" w14:textId="77777777" w:rsidR="00352CAE" w:rsidRPr="00990D3E" w:rsidRDefault="00B66252">
                          <w:pPr>
                            <w:rPr>
                              <w:i/>
                              <w:color w:val="262626" w:themeColor="text1" w:themeTint="D9"/>
                              <w:sz w:val="36"/>
                              <w:szCs w:val="36"/>
                            </w:rPr>
                          </w:pPr>
                          <w:r w:rsidRPr="00990D3E">
                            <w:rPr>
                              <w:color w:val="262626" w:themeColor="text1" w:themeTint="D9"/>
                              <w:sz w:val="36"/>
                              <w:szCs w:val="36"/>
                            </w:rPr>
                            <w:t>History Internal assessment 2025</w:t>
                          </w:r>
                        </w:p>
                      </w:sdtContent>
                    </w:sdt>
                  </w:txbxContent>
                </v:textbox>
                <w10:wrap anchorx="page" anchory="page"/>
              </v:shape>
            </w:pict>
          </mc:Fallback>
        </mc:AlternateContent>
      </w:r>
      <w:r w:rsidR="00FB4074">
        <w:rPr>
          <w:noProof/>
        </w:rPr>
        <mc:AlternateContent>
          <mc:Choice Requires="wpi">
            <w:drawing>
              <wp:anchor distT="0" distB="0" distL="114300" distR="114300" simplePos="0" relativeHeight="251658244" behindDoc="0" locked="0" layoutInCell="1" allowOverlap="1" wp14:anchorId="3368D16E" wp14:editId="57372AF9">
                <wp:simplePos x="0" y="0"/>
                <wp:positionH relativeFrom="column">
                  <wp:posOffset>5558894</wp:posOffset>
                </wp:positionH>
                <wp:positionV relativeFrom="paragraph">
                  <wp:posOffset>8916046</wp:posOffset>
                </wp:positionV>
                <wp:extent cx="250200" cy="212760"/>
                <wp:effectExtent l="114300" t="114300" r="130810" b="117475"/>
                <wp:wrapNone/>
                <wp:docPr id="3" name="Encre 3"/>
                <wp:cNvGraphicFramePr/>
                <a:graphic xmlns:a="http://schemas.openxmlformats.org/drawingml/2006/main">
                  <a:graphicData uri="http://schemas.microsoft.com/office/word/2010/wordprocessingInk">
                    <w14:contentPart bwMode="auto" r:id="rId10">
                      <w14:nvContentPartPr>
                        <w14:cNvContentPartPr/>
                      </w14:nvContentPartPr>
                      <w14:xfrm>
                        <a:off x="0" y="0"/>
                        <a:ext cx="250190" cy="212725"/>
                      </w14:xfrm>
                    </w14:contentPart>
                  </a:graphicData>
                </a:graphic>
              </wp:anchor>
            </w:drawing>
          </mc:Choice>
          <mc:Fallback xmlns:a="http://schemas.openxmlformats.org/drawingml/2006/main" xmlns:arto="http://schemas.microsoft.com/office/word/2006/arto">
            <w:pict>
              <v:shapetype id="_x0000_t75" coordsize="21600,21600" filled="f" stroked="f" o:spt="75" o:preferrelative="t" path="m@4@5l@4@11@9@11@9@5xe" w14:anchorId="4A5ADC9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Encre 3" style="position:absolute;margin-left:432.75pt;margin-top:697.1pt;width:29.6pt;height:26.65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">
                <v:imagedata o:title="" r:id="rId11"/>
              </v:shape>
            </w:pict>
          </mc:Fallback>
        </mc:AlternateContent>
      </w:r>
      <w:r w:rsidR="00FB4074">
        <w:rPr>
          <w:noProof/>
        </w:rPr>
        <mc:AlternateContent>
          <mc:Choice Requires="wpi">
            <w:drawing>
              <wp:anchor distT="0" distB="0" distL="114300" distR="114300" simplePos="0" relativeHeight="251658243" behindDoc="0" locked="0" layoutInCell="1" allowOverlap="1" wp14:anchorId="7A786D44" wp14:editId="7904CF99">
                <wp:simplePos x="0" y="0"/>
                <wp:positionH relativeFrom="column">
                  <wp:posOffset>5644574</wp:posOffset>
                </wp:positionH>
                <wp:positionV relativeFrom="paragraph">
                  <wp:posOffset>9026926</wp:posOffset>
                </wp:positionV>
                <wp:extent cx="141480" cy="111600"/>
                <wp:effectExtent l="38100" t="38100" r="24130" b="41275"/>
                <wp:wrapNone/>
                <wp:docPr id="2" name="Encre 2"/>
                <wp:cNvGraphicFramePr/>
                <a:graphic xmlns:a="http://schemas.openxmlformats.org/drawingml/2006/main">
                  <a:graphicData uri="http://schemas.microsoft.com/office/word/2010/wordprocessingInk">
                    <w14:contentPart bwMode="auto" r:id="rId12">
                      <w14:nvContentPartPr>
                        <w14:cNvContentPartPr/>
                      </w14:nvContentPartPr>
                      <w14:xfrm>
                        <a:off x="0" y="0"/>
                        <a:ext cx="140970" cy="111125"/>
                      </w14:xfrm>
                    </w14:contentPart>
                  </a:graphicData>
                </a:graphic>
              </wp:anchor>
            </w:drawing>
          </mc:Choice>
          <mc:Fallback xmlns:a="http://schemas.openxmlformats.org/drawingml/2006/main" xmlns:arto="http://schemas.microsoft.com/office/word/2006/arto">
            <w:pict>
              <v:shape id="Encre 2" style="position:absolute;margin-left:443.75pt;margin-top:710.1pt;width:12.55pt;height:10.2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" w14:anchorId="0EB0E298">
                <v:imagedata o:title="" r:id="rId13"/>
              </v:shape>
            </w:pict>
          </mc:Fallback>
        </mc:AlternateContent>
      </w:r>
      <w:r w:rsidR="00EA04F1" w:rsidRPr="00B85FCD">
        <w:br w:type="page"/>
      </w:r>
    </w:p>
    <w:p w14:paraId="11D15187" w14:textId="77777777" w:rsidR="00E96F95" w:rsidRPr="00142832" w:rsidRDefault="00E96F95" w:rsidP="00E96F95">
      <w:r w:rsidRPr="00E96F95">
        <w:rPr>
          <w:rFonts w:asciiTheme="majorHAnsi" w:hAnsiTheme="majorHAnsi" w:cstheme="majorHAnsi"/>
          <w:sz w:val="32"/>
          <w:szCs w:val="32"/>
        </w:rPr>
        <w:lastRenderedPageBreak/>
        <w:t>Table of contents</w:t>
      </w:r>
    </w:p>
    <w:p w14:paraId="546A586A" w14:textId="04DD008E" w:rsidR="00C97B1A" w:rsidRDefault="00E96F95">
      <w:pPr>
        <w:pStyle w:val="TM1"/>
        <w:tabs>
          <w:tab w:val="right" w:leader="dot" w:pos="9056"/>
        </w:tabs>
        <w:rPr>
          <w:rFonts w:eastAsiaTheme="minorEastAsia" w:cstheme="minorBidi"/>
          <w:b w:val="0"/>
          <w:bCs w:val="0"/>
          <w:caps w:val="0"/>
          <w:noProof/>
          <w:kern w:val="2"/>
          <w:sz w:val="24"/>
          <w:szCs w:val="24"/>
          <w:lang w:val="fr-FR" w:eastAsia="fr-FR"/>
          <w14:ligatures w14:val="standardContextual"/>
        </w:rPr>
      </w:pPr>
      <w:r>
        <w:fldChar w:fldCharType="begin"/>
      </w:r>
      <w:r>
        <w:instrText xml:space="preserve"> TOC \o "1-3" \h \z \u </w:instrText>
      </w:r>
      <w:r>
        <w:fldChar w:fldCharType="separate"/>
      </w:r>
      <w:hyperlink w:anchor="_Toc177227823" w:history="1">
        <w:r w:rsidR="00C97B1A" w:rsidRPr="00884E4A">
          <w:rPr>
            <w:rStyle w:val="Lienhypertexte"/>
            <w:noProof/>
            <w:lang w:val="en-US"/>
          </w:rPr>
          <w:t>Section A – Identification and evaluation of two sources</w:t>
        </w:r>
        <w:r w:rsidR="00C97B1A">
          <w:rPr>
            <w:noProof/>
            <w:webHidden/>
          </w:rPr>
          <w:tab/>
        </w:r>
        <w:r w:rsidR="00C97B1A">
          <w:rPr>
            <w:noProof/>
            <w:webHidden/>
          </w:rPr>
          <w:fldChar w:fldCharType="begin"/>
        </w:r>
        <w:r w:rsidR="00C97B1A">
          <w:rPr>
            <w:noProof/>
            <w:webHidden/>
          </w:rPr>
          <w:instrText xml:space="preserve"> PAGEREF _Toc177227823 \h </w:instrText>
        </w:r>
        <w:r w:rsidR="00C97B1A">
          <w:rPr>
            <w:noProof/>
            <w:webHidden/>
          </w:rPr>
        </w:r>
        <w:r w:rsidR="00C97B1A">
          <w:rPr>
            <w:noProof/>
            <w:webHidden/>
          </w:rPr>
          <w:fldChar w:fldCharType="separate"/>
        </w:r>
        <w:r w:rsidR="00094FC7">
          <w:rPr>
            <w:noProof/>
            <w:webHidden/>
          </w:rPr>
          <w:t>1</w:t>
        </w:r>
        <w:r w:rsidR="00C97B1A">
          <w:rPr>
            <w:noProof/>
            <w:webHidden/>
          </w:rPr>
          <w:fldChar w:fldCharType="end"/>
        </w:r>
      </w:hyperlink>
    </w:p>
    <w:p w14:paraId="0ECEB194" w14:textId="7CF79D6E" w:rsidR="00C97B1A" w:rsidRDefault="00C97B1A">
      <w:pPr>
        <w:pStyle w:val="TM1"/>
        <w:tabs>
          <w:tab w:val="right" w:leader="dot" w:pos="9056"/>
        </w:tabs>
        <w:rPr>
          <w:rFonts w:eastAsiaTheme="minorEastAsia" w:cstheme="minorBidi"/>
          <w:b w:val="0"/>
          <w:bCs w:val="0"/>
          <w:caps w:val="0"/>
          <w:noProof/>
          <w:kern w:val="2"/>
          <w:sz w:val="24"/>
          <w:szCs w:val="24"/>
          <w:lang w:val="fr-FR" w:eastAsia="fr-FR"/>
          <w14:ligatures w14:val="standardContextual"/>
        </w:rPr>
      </w:pPr>
      <w:hyperlink w:anchor="_Toc177227824" w:history="1">
        <w:r w:rsidRPr="00884E4A">
          <w:rPr>
            <w:rStyle w:val="Lienhypertexte"/>
            <w:noProof/>
            <w:lang w:val="en-US"/>
          </w:rPr>
          <w:t>Section B – Investigation</w:t>
        </w:r>
        <w:r>
          <w:rPr>
            <w:noProof/>
            <w:webHidden/>
          </w:rPr>
          <w:tab/>
        </w:r>
        <w:r>
          <w:rPr>
            <w:noProof/>
            <w:webHidden/>
          </w:rPr>
          <w:fldChar w:fldCharType="begin"/>
        </w:r>
        <w:r>
          <w:rPr>
            <w:noProof/>
            <w:webHidden/>
          </w:rPr>
          <w:instrText xml:space="preserve"> PAGEREF _Toc177227824 \h </w:instrText>
        </w:r>
        <w:r>
          <w:rPr>
            <w:noProof/>
            <w:webHidden/>
          </w:rPr>
        </w:r>
        <w:r>
          <w:rPr>
            <w:noProof/>
            <w:webHidden/>
          </w:rPr>
          <w:fldChar w:fldCharType="separate"/>
        </w:r>
        <w:r w:rsidR="00094FC7">
          <w:rPr>
            <w:noProof/>
            <w:webHidden/>
          </w:rPr>
          <w:t>3</w:t>
        </w:r>
        <w:r>
          <w:rPr>
            <w:noProof/>
            <w:webHidden/>
          </w:rPr>
          <w:fldChar w:fldCharType="end"/>
        </w:r>
      </w:hyperlink>
    </w:p>
    <w:p w14:paraId="2A7F30CA" w14:textId="6276912E" w:rsidR="00C97B1A" w:rsidRDefault="00C97B1A">
      <w:pPr>
        <w:pStyle w:val="TM1"/>
        <w:tabs>
          <w:tab w:val="right" w:leader="dot" w:pos="9056"/>
        </w:tabs>
        <w:rPr>
          <w:rFonts w:eastAsiaTheme="minorEastAsia" w:cstheme="minorBidi"/>
          <w:b w:val="0"/>
          <w:bCs w:val="0"/>
          <w:caps w:val="0"/>
          <w:noProof/>
          <w:kern w:val="2"/>
          <w:sz w:val="24"/>
          <w:szCs w:val="24"/>
          <w:lang w:val="fr-FR" w:eastAsia="fr-FR"/>
          <w14:ligatures w14:val="standardContextual"/>
        </w:rPr>
      </w:pPr>
      <w:hyperlink w:anchor="_Toc177227825" w:history="1">
        <w:r w:rsidRPr="00884E4A">
          <w:rPr>
            <w:rStyle w:val="Lienhypertexte"/>
            <w:noProof/>
            <w:lang w:val="en-US"/>
          </w:rPr>
          <w:t>Section C – Reflection</w:t>
        </w:r>
        <w:r>
          <w:rPr>
            <w:noProof/>
            <w:webHidden/>
          </w:rPr>
          <w:tab/>
        </w:r>
        <w:r>
          <w:rPr>
            <w:noProof/>
            <w:webHidden/>
          </w:rPr>
          <w:fldChar w:fldCharType="begin"/>
        </w:r>
        <w:r>
          <w:rPr>
            <w:noProof/>
            <w:webHidden/>
          </w:rPr>
          <w:instrText xml:space="preserve"> PAGEREF _Toc177227825 \h </w:instrText>
        </w:r>
        <w:r>
          <w:rPr>
            <w:noProof/>
            <w:webHidden/>
          </w:rPr>
        </w:r>
        <w:r>
          <w:rPr>
            <w:noProof/>
            <w:webHidden/>
          </w:rPr>
          <w:fldChar w:fldCharType="separate"/>
        </w:r>
        <w:r w:rsidR="00094FC7">
          <w:rPr>
            <w:noProof/>
            <w:webHidden/>
          </w:rPr>
          <w:t>9</w:t>
        </w:r>
        <w:r>
          <w:rPr>
            <w:noProof/>
            <w:webHidden/>
          </w:rPr>
          <w:fldChar w:fldCharType="end"/>
        </w:r>
      </w:hyperlink>
    </w:p>
    <w:p w14:paraId="6C7F8DCC" w14:textId="68E2D828" w:rsidR="00C97B1A" w:rsidRDefault="00C97B1A">
      <w:pPr>
        <w:pStyle w:val="TM1"/>
        <w:tabs>
          <w:tab w:val="right" w:leader="dot" w:pos="9056"/>
        </w:tabs>
        <w:rPr>
          <w:rFonts w:eastAsiaTheme="minorEastAsia" w:cstheme="minorBidi"/>
          <w:b w:val="0"/>
          <w:bCs w:val="0"/>
          <w:caps w:val="0"/>
          <w:noProof/>
          <w:kern w:val="2"/>
          <w:sz w:val="24"/>
          <w:szCs w:val="24"/>
          <w:lang w:val="fr-FR" w:eastAsia="fr-FR"/>
          <w14:ligatures w14:val="standardContextual"/>
        </w:rPr>
      </w:pPr>
      <w:hyperlink w:anchor="_Toc177227826" w:history="1">
        <w:r w:rsidRPr="00884E4A">
          <w:rPr>
            <w:rStyle w:val="Lienhypertexte"/>
            <w:noProof/>
            <w:lang w:val="fr-FR"/>
          </w:rPr>
          <w:t>Bibliography</w:t>
        </w:r>
        <w:r>
          <w:rPr>
            <w:noProof/>
            <w:webHidden/>
          </w:rPr>
          <w:tab/>
        </w:r>
        <w:r>
          <w:rPr>
            <w:noProof/>
            <w:webHidden/>
          </w:rPr>
          <w:fldChar w:fldCharType="begin"/>
        </w:r>
        <w:r>
          <w:rPr>
            <w:noProof/>
            <w:webHidden/>
          </w:rPr>
          <w:instrText xml:space="preserve"> PAGEREF _Toc177227826 \h </w:instrText>
        </w:r>
        <w:r>
          <w:rPr>
            <w:noProof/>
            <w:webHidden/>
          </w:rPr>
        </w:r>
        <w:r>
          <w:rPr>
            <w:noProof/>
            <w:webHidden/>
          </w:rPr>
          <w:fldChar w:fldCharType="separate"/>
        </w:r>
        <w:r w:rsidR="00094FC7">
          <w:rPr>
            <w:noProof/>
            <w:webHidden/>
          </w:rPr>
          <w:t>11</w:t>
        </w:r>
        <w:r>
          <w:rPr>
            <w:noProof/>
            <w:webHidden/>
          </w:rPr>
          <w:fldChar w:fldCharType="end"/>
        </w:r>
      </w:hyperlink>
    </w:p>
    <w:p w14:paraId="39231CD6" w14:textId="746FB1D5" w:rsidR="00E96F95" w:rsidRDefault="00E96F95" w:rsidP="00E96F95">
      <w:pPr>
        <w:jc w:val="both"/>
      </w:pPr>
      <w:r>
        <w:fldChar w:fldCharType="end"/>
      </w:r>
    </w:p>
    <w:p w14:paraId="131608E6" w14:textId="77777777" w:rsidR="00E96F95" w:rsidRDefault="00E96F95" w:rsidP="00E96F95">
      <w:pPr>
        <w:jc w:val="both"/>
      </w:pPr>
    </w:p>
    <w:p w14:paraId="4F601A26" w14:textId="77777777" w:rsidR="00E96F95" w:rsidRDefault="00E96F95" w:rsidP="00E96F95">
      <w:pPr>
        <w:jc w:val="both"/>
      </w:pPr>
    </w:p>
    <w:p w14:paraId="34D7FF4B" w14:textId="77777777" w:rsidR="00E96F95" w:rsidRDefault="00E96F95" w:rsidP="00E96F95">
      <w:pPr>
        <w:jc w:val="both"/>
      </w:pPr>
    </w:p>
    <w:p w14:paraId="5D69B1C4" w14:textId="77777777" w:rsidR="00142832" w:rsidRDefault="00142832">
      <w:pPr>
        <w:sectPr w:rsidR="00142832" w:rsidSect="00FB4074">
          <w:footerReference w:type="even" r:id="rId14"/>
          <w:footerReference w:type="default" r:id="rId15"/>
          <w:footerReference w:type="first" r:id="rId16"/>
          <w:pgSz w:w="11900" w:h="16840"/>
          <w:pgMar w:top="1417" w:right="1417" w:bottom="1417" w:left="1417" w:header="708" w:footer="708" w:gutter="0"/>
          <w:pgNumType w:start="0"/>
          <w:cols w:space="708"/>
          <w:docGrid w:linePitch="360"/>
        </w:sectPr>
      </w:pPr>
    </w:p>
    <w:p w14:paraId="3AD59E05" w14:textId="77777777" w:rsidR="00E96F95" w:rsidRPr="00FB4074" w:rsidRDefault="00E96F95" w:rsidP="00FB4074">
      <w:pPr>
        <w:pStyle w:val="Titre1"/>
        <w:jc w:val="center"/>
        <w:rPr>
          <w:lang w:val="en-US"/>
        </w:rPr>
      </w:pPr>
      <w:bookmarkStart w:id="0" w:name="_Toc177227823"/>
      <w:r w:rsidRPr="00E96F95">
        <w:rPr>
          <w:u w:val="single"/>
          <w:lang w:val="en-US"/>
        </w:rPr>
        <w:lastRenderedPageBreak/>
        <w:t xml:space="preserve">Section </w:t>
      </w:r>
      <w:r w:rsidR="00461E5C">
        <w:rPr>
          <w:u w:val="single"/>
          <w:lang w:val="en-US"/>
        </w:rPr>
        <w:t>A</w:t>
      </w:r>
      <w:r w:rsidRPr="00E96F95">
        <w:rPr>
          <w:lang w:val="en-US"/>
        </w:rPr>
        <w:t xml:space="preserve"> – Identification and evaluation of t</w:t>
      </w:r>
      <w:r>
        <w:rPr>
          <w:lang w:val="en-US"/>
        </w:rPr>
        <w:t>wo sources</w:t>
      </w:r>
      <w:bookmarkEnd w:id="0"/>
    </w:p>
    <w:p w14:paraId="301BFC49" w14:textId="77777777" w:rsidR="00E96F95" w:rsidRDefault="00E96F95" w:rsidP="00E96F95">
      <w:pPr>
        <w:rPr>
          <w:lang w:val="en-US"/>
        </w:rPr>
      </w:pPr>
    </w:p>
    <w:p w14:paraId="5D98DC1F" w14:textId="729FF329" w:rsidR="006405ED" w:rsidRPr="00C64D42" w:rsidRDefault="006405ED" w:rsidP="0035614E">
      <w:pPr>
        <w:spacing w:line="480" w:lineRule="auto"/>
        <w:ind w:firstLine="708"/>
        <w:jc w:val="both"/>
        <w:rPr>
          <w:rFonts w:asciiTheme="minorHAnsi" w:hAnsiTheme="minorHAnsi" w:cstheme="minorHAnsi"/>
          <w:lang w:val="en-US"/>
        </w:rPr>
      </w:pPr>
      <w:r w:rsidRPr="00C64D42">
        <w:rPr>
          <w:rFonts w:asciiTheme="minorHAnsi" w:hAnsiTheme="minorHAnsi" w:cstheme="minorHAnsi"/>
          <w:color w:val="000000" w:themeColor="text1"/>
          <w:lang w:val="en-US"/>
        </w:rPr>
        <w:t xml:space="preserve">This investigation will address the question of President Nixon’s decision of abandonment of the gold standards exchanges in 1971 august and its contribution into the 70’s general crisis. This moment was one of the most crucial </w:t>
      </w:r>
      <w:r w:rsidR="003E37CB" w:rsidRPr="00C64D42">
        <w:rPr>
          <w:rFonts w:asciiTheme="minorHAnsi" w:hAnsiTheme="minorHAnsi" w:cstheme="minorHAnsi"/>
          <w:color w:val="000000" w:themeColor="text1"/>
          <w:lang w:val="en-US"/>
        </w:rPr>
        <w:t xml:space="preserve">ones </w:t>
      </w:r>
      <w:r w:rsidRPr="00C64D42">
        <w:rPr>
          <w:rFonts w:asciiTheme="minorHAnsi" w:hAnsiTheme="minorHAnsi" w:cstheme="minorHAnsi"/>
          <w:color w:val="000000" w:themeColor="text1"/>
          <w:lang w:val="en-US"/>
        </w:rPr>
        <w:t xml:space="preserve">in </w:t>
      </w:r>
      <w:r w:rsidR="003E37CB" w:rsidRPr="00C64D42">
        <w:rPr>
          <w:rFonts w:asciiTheme="minorHAnsi" w:hAnsiTheme="minorHAnsi" w:cstheme="minorHAnsi"/>
          <w:color w:val="000000" w:themeColor="text1"/>
          <w:lang w:val="en-US"/>
        </w:rPr>
        <w:t xml:space="preserve">the </w:t>
      </w:r>
      <w:r w:rsidRPr="00C64D42">
        <w:rPr>
          <w:rFonts w:asciiTheme="minorHAnsi" w:hAnsiTheme="minorHAnsi" w:cstheme="minorHAnsi"/>
          <w:color w:val="000000" w:themeColor="text1"/>
          <w:lang w:val="en-US"/>
        </w:rPr>
        <w:t>economic and politic history of the 20th century. This decision put an end to the international monetary system of Bretton Woods, but also contribute</w:t>
      </w:r>
      <w:r w:rsidR="003E37CB" w:rsidRPr="00C64D42">
        <w:rPr>
          <w:rFonts w:asciiTheme="minorHAnsi" w:hAnsiTheme="minorHAnsi" w:cstheme="minorHAnsi"/>
          <w:color w:val="000000" w:themeColor="text1"/>
          <w:lang w:val="en-US"/>
        </w:rPr>
        <w:t>d</w:t>
      </w:r>
      <w:r w:rsidRPr="00C64D42">
        <w:rPr>
          <w:rFonts w:asciiTheme="minorHAnsi" w:hAnsiTheme="minorHAnsi" w:cstheme="minorHAnsi"/>
          <w:color w:val="000000" w:themeColor="text1"/>
          <w:lang w:val="en-US"/>
        </w:rPr>
        <w:t xml:space="preserve"> to shape the economic and geopolitic</w:t>
      </w:r>
      <w:r w:rsidR="003E37CB" w:rsidRPr="00C64D42">
        <w:rPr>
          <w:rFonts w:asciiTheme="minorHAnsi" w:hAnsiTheme="minorHAnsi" w:cstheme="minorHAnsi"/>
          <w:color w:val="000000" w:themeColor="text1"/>
          <w:lang w:val="en-US"/>
        </w:rPr>
        <w:t>s</w:t>
      </w:r>
      <w:r w:rsidRPr="00C64D42">
        <w:rPr>
          <w:rFonts w:asciiTheme="minorHAnsi" w:hAnsiTheme="minorHAnsi" w:cstheme="minorHAnsi"/>
          <w:color w:val="000000" w:themeColor="text1"/>
          <w:lang w:val="en-US"/>
        </w:rPr>
        <w:t xml:space="preserve"> landscape of the later decades. To understand completely the impact of that event and </w:t>
      </w:r>
      <w:r w:rsidR="003E37CB" w:rsidRPr="00C64D42">
        <w:rPr>
          <w:rFonts w:asciiTheme="minorHAnsi" w:hAnsiTheme="minorHAnsi" w:cstheme="minorHAnsi"/>
          <w:color w:val="000000" w:themeColor="text1"/>
          <w:lang w:val="en-US"/>
        </w:rPr>
        <w:t>its</w:t>
      </w:r>
      <w:r w:rsidRPr="00C64D42">
        <w:rPr>
          <w:rFonts w:asciiTheme="minorHAnsi" w:hAnsiTheme="minorHAnsi" w:cstheme="minorHAnsi"/>
          <w:color w:val="000000" w:themeColor="text1"/>
          <w:lang w:val="en-US"/>
        </w:rPr>
        <w:t xml:space="preserve"> role into the general crisis of the 70’s, it is essential to analyze two primary </w:t>
      </w:r>
      <w:r w:rsidR="003E37CB" w:rsidRPr="00C64D42">
        <w:rPr>
          <w:rFonts w:asciiTheme="minorHAnsi" w:hAnsiTheme="minorHAnsi" w:cstheme="minorHAnsi"/>
          <w:color w:val="000000" w:themeColor="text1"/>
          <w:lang w:val="en-US"/>
        </w:rPr>
        <w:t xml:space="preserve">key </w:t>
      </w:r>
      <w:r w:rsidRPr="00C64D42">
        <w:rPr>
          <w:rFonts w:asciiTheme="minorHAnsi" w:hAnsiTheme="minorHAnsi" w:cstheme="minorHAnsi"/>
          <w:color w:val="000000" w:themeColor="text1"/>
          <w:lang w:val="en-US"/>
        </w:rPr>
        <w:t>sources: President Nixon’s speech announcing this decision, and the response of the French president at that time: Georges Pompidou during his press conference o</w:t>
      </w:r>
      <w:r w:rsidR="003E37CB" w:rsidRPr="00C64D42">
        <w:rPr>
          <w:rFonts w:asciiTheme="minorHAnsi" w:hAnsiTheme="minorHAnsi" w:cstheme="minorHAnsi"/>
          <w:color w:val="000000" w:themeColor="text1"/>
          <w:lang w:val="en-US"/>
        </w:rPr>
        <w:t>n</w:t>
      </w:r>
      <w:r w:rsidRPr="00C64D42">
        <w:rPr>
          <w:rFonts w:asciiTheme="minorHAnsi" w:hAnsiTheme="minorHAnsi" w:cstheme="minorHAnsi"/>
          <w:color w:val="000000" w:themeColor="text1"/>
          <w:lang w:val="en-US"/>
        </w:rPr>
        <w:t xml:space="preserve"> September 23, 1971. T</w:t>
      </w:r>
      <w:r w:rsidR="003E37CB" w:rsidRPr="00C64D42">
        <w:rPr>
          <w:rFonts w:asciiTheme="minorHAnsi" w:hAnsiTheme="minorHAnsi" w:cstheme="minorHAnsi"/>
          <w:color w:val="000000" w:themeColor="text1"/>
          <w:lang w:val="en-US"/>
        </w:rPr>
        <w:t>he</w:t>
      </w:r>
      <w:r w:rsidRPr="00C64D42">
        <w:rPr>
          <w:rFonts w:asciiTheme="minorHAnsi" w:hAnsiTheme="minorHAnsi" w:cstheme="minorHAnsi"/>
          <w:color w:val="000000" w:themeColor="text1"/>
          <w:lang w:val="en-US"/>
        </w:rPr>
        <w:t>se sources offer both contrasting perspectives on the motivation, implications and consequences of that historical decision, permitting, by that way, to explore the transatlantic tensions.</w:t>
      </w:r>
      <w:r w:rsidRPr="00C64D42">
        <w:rPr>
          <w:rFonts w:asciiTheme="minorHAnsi" w:hAnsiTheme="minorHAnsi" w:cstheme="minorHAnsi"/>
          <w:lang w:val="en-US"/>
        </w:rPr>
        <w:t xml:space="preserve"> </w:t>
      </w:r>
    </w:p>
    <w:p w14:paraId="0B2F171C" w14:textId="42C81360" w:rsidR="00F55C2C" w:rsidRPr="00C64D42" w:rsidRDefault="00F55C2C" w:rsidP="00C97B1A">
      <w:pPr>
        <w:spacing w:line="480" w:lineRule="auto"/>
        <w:jc w:val="both"/>
        <w:rPr>
          <w:rFonts w:asciiTheme="minorHAnsi" w:hAnsiTheme="minorHAnsi" w:cstheme="minorHAnsi"/>
          <w:lang w:val="en-US"/>
        </w:rPr>
      </w:pPr>
    </w:p>
    <w:p w14:paraId="0224D5A6" w14:textId="77777777" w:rsidR="0035614E" w:rsidRPr="00C64D42" w:rsidRDefault="00F55C2C" w:rsidP="0035614E">
      <w:pPr>
        <w:spacing w:line="480" w:lineRule="auto"/>
        <w:ind w:firstLine="708"/>
        <w:jc w:val="both"/>
        <w:rPr>
          <w:rFonts w:asciiTheme="minorHAnsi" w:eastAsia="Arial" w:hAnsiTheme="minorHAnsi" w:cstheme="minorHAnsi"/>
          <w:color w:val="000000"/>
          <w:lang w:val="en-US"/>
        </w:rPr>
      </w:pPr>
      <w:r w:rsidRPr="00C64D42">
        <w:rPr>
          <w:rFonts w:asciiTheme="minorHAnsi" w:eastAsia="Arial" w:hAnsiTheme="minorHAnsi" w:cstheme="minorHAnsi"/>
          <w:color w:val="000000"/>
          <w:lang w:val="en-US"/>
        </w:rPr>
        <w:t>President Nixon’s speech “Address to the Nation Outlining a New Economics Policy: The Challenge of Peace”</w:t>
      </w:r>
      <w:r w:rsidRPr="00C64D42">
        <w:rPr>
          <w:rStyle w:val="Appelnotedebasdep"/>
          <w:rFonts w:asciiTheme="minorHAnsi" w:eastAsia="Arial" w:hAnsiTheme="minorHAnsi" w:cstheme="minorHAnsi"/>
          <w:color w:val="000000"/>
          <w:lang w:val="en-US"/>
        </w:rPr>
        <w:footnoteReference w:id="2"/>
      </w:r>
      <w:r w:rsidRPr="00C64D42">
        <w:rPr>
          <w:rFonts w:asciiTheme="minorHAnsi" w:eastAsia="Arial" w:hAnsiTheme="minorHAnsi" w:cstheme="minorHAnsi"/>
          <w:color w:val="000000"/>
          <w:lang w:val="en-US"/>
        </w:rPr>
        <w:t>, is crucial to understand the motivations and justifications for the decision to abandon the gold standard. Nixon presented this measure as a necessity for the protection of U.S. dollar and U.S. economy against “International speculators”</w:t>
      </w:r>
      <w:r w:rsidRPr="00C64D42">
        <w:rPr>
          <w:rStyle w:val="Appelnotedebasdep"/>
          <w:rFonts w:asciiTheme="minorHAnsi" w:eastAsia="Arial" w:hAnsiTheme="minorHAnsi" w:cstheme="minorHAnsi"/>
          <w:color w:val="000000"/>
          <w:lang w:val="en-US"/>
        </w:rPr>
        <w:footnoteReference w:id="3"/>
      </w:r>
      <w:r w:rsidRPr="00C64D42">
        <w:rPr>
          <w:rFonts w:asciiTheme="minorHAnsi" w:eastAsia="Arial" w:hAnsiTheme="minorHAnsi" w:cstheme="minorHAnsi"/>
          <w:color w:val="000000"/>
          <w:lang w:val="en-US"/>
        </w:rPr>
        <w:t>. He underlined the emergency of the situation, maintaining his position on the U.S. dollar as a pillar of the monetary stability in the world</w:t>
      </w:r>
      <w:r w:rsidRPr="00C64D42">
        <w:rPr>
          <w:rStyle w:val="Appelnotedebasdep"/>
          <w:rFonts w:asciiTheme="minorHAnsi" w:eastAsia="Arial" w:hAnsiTheme="minorHAnsi" w:cstheme="minorHAnsi"/>
          <w:color w:val="000000"/>
          <w:lang w:val="en-US"/>
        </w:rPr>
        <w:footnoteReference w:id="4"/>
      </w:r>
      <w:r w:rsidRPr="00C64D42">
        <w:rPr>
          <w:rFonts w:asciiTheme="minorHAnsi" w:eastAsia="Arial" w:hAnsiTheme="minorHAnsi" w:cstheme="minorHAnsi"/>
          <w:color w:val="000000"/>
          <w:lang w:val="en-US"/>
        </w:rPr>
        <w:t xml:space="preserve">. </w:t>
      </w:r>
    </w:p>
    <w:p w14:paraId="52DAC86B" w14:textId="7E913C0F" w:rsidR="00F55C2C" w:rsidRPr="00C64D42" w:rsidRDefault="0035614E" w:rsidP="0035614E">
      <w:pPr>
        <w:spacing w:line="480" w:lineRule="auto"/>
        <w:ind w:firstLine="708"/>
        <w:jc w:val="both"/>
        <w:rPr>
          <w:rFonts w:asciiTheme="minorHAnsi" w:eastAsia="Arial" w:hAnsiTheme="minorHAnsi" w:cstheme="minorHAnsi"/>
          <w:color w:val="000000"/>
          <w:lang w:val="en-US"/>
        </w:rPr>
      </w:pPr>
      <w:r w:rsidRPr="00C64D42">
        <w:rPr>
          <w:rFonts w:asciiTheme="minorHAnsi" w:eastAsia="Arial" w:hAnsiTheme="minorHAnsi" w:cstheme="minorHAnsi"/>
          <w:color w:val="000000"/>
          <w:lang w:val="en-US"/>
        </w:rPr>
        <w:lastRenderedPageBreak/>
        <w:t xml:space="preserve">A </w:t>
      </w:r>
      <w:r w:rsidR="00F55C2C" w:rsidRPr="00C64D42">
        <w:rPr>
          <w:rFonts w:asciiTheme="minorHAnsi" w:eastAsia="Arial" w:hAnsiTheme="minorHAnsi" w:cstheme="minorHAnsi"/>
          <w:color w:val="000000"/>
          <w:lang w:val="en-US"/>
        </w:rPr>
        <w:t>value of</w:t>
      </w:r>
      <w:r w:rsidRPr="00C64D42">
        <w:rPr>
          <w:rFonts w:asciiTheme="minorHAnsi" w:eastAsia="Arial" w:hAnsiTheme="minorHAnsi" w:cstheme="minorHAnsi"/>
          <w:color w:val="000000"/>
          <w:lang w:val="en-US"/>
        </w:rPr>
        <w:t xml:space="preserve"> the origin of</w:t>
      </w:r>
      <w:r w:rsidR="00F55C2C" w:rsidRPr="00C64D42">
        <w:rPr>
          <w:rFonts w:asciiTheme="minorHAnsi" w:eastAsia="Arial" w:hAnsiTheme="minorHAnsi" w:cstheme="minorHAnsi"/>
          <w:color w:val="000000"/>
          <w:lang w:val="en-US"/>
        </w:rPr>
        <w:t xml:space="preserve"> this</w:t>
      </w:r>
      <w:r w:rsidR="004023F0" w:rsidRPr="00C64D42">
        <w:rPr>
          <w:rFonts w:asciiTheme="minorHAnsi" w:eastAsia="Arial" w:hAnsiTheme="minorHAnsi" w:cstheme="minorHAnsi"/>
          <w:color w:val="000000"/>
          <w:lang w:val="en-US"/>
        </w:rPr>
        <w:t xml:space="preserve"> primary</w:t>
      </w:r>
      <w:r w:rsidR="00F55C2C" w:rsidRPr="00C64D42">
        <w:rPr>
          <w:rFonts w:asciiTheme="minorHAnsi" w:eastAsia="Arial" w:hAnsiTheme="minorHAnsi" w:cstheme="minorHAnsi"/>
          <w:color w:val="000000"/>
          <w:lang w:val="en-US"/>
        </w:rPr>
        <w:t xml:space="preserve"> source resides in </w:t>
      </w:r>
      <w:r w:rsidRPr="00C64D42">
        <w:rPr>
          <w:rFonts w:asciiTheme="minorHAnsi" w:eastAsia="Arial" w:hAnsiTheme="minorHAnsi" w:cstheme="minorHAnsi"/>
          <w:color w:val="000000"/>
          <w:lang w:val="en-US"/>
        </w:rPr>
        <w:t>it</w:t>
      </w:r>
      <w:r w:rsidR="00F55C2C" w:rsidRPr="00C64D42">
        <w:rPr>
          <w:rFonts w:asciiTheme="minorHAnsi" w:eastAsia="Arial" w:hAnsiTheme="minorHAnsi" w:cstheme="minorHAnsi"/>
          <w:color w:val="000000"/>
          <w:lang w:val="en-US"/>
        </w:rPr>
        <w:t xml:space="preserve">s official nature as a state document, </w:t>
      </w:r>
      <w:r w:rsidRPr="00C64D42">
        <w:rPr>
          <w:rFonts w:asciiTheme="minorHAnsi" w:eastAsia="Arial" w:hAnsiTheme="minorHAnsi" w:cstheme="minorHAnsi"/>
          <w:color w:val="000000"/>
          <w:lang w:val="en-US"/>
        </w:rPr>
        <w:t>it</w:t>
      </w:r>
      <w:r w:rsidR="00F55C2C" w:rsidRPr="00C64D42">
        <w:rPr>
          <w:rFonts w:asciiTheme="minorHAnsi" w:eastAsia="Arial" w:hAnsiTheme="minorHAnsi" w:cstheme="minorHAnsi"/>
          <w:color w:val="000000"/>
          <w:lang w:val="en-US"/>
        </w:rPr>
        <w:t>s contemporary meaning and above all as a president’s speech. It offers a direct look at</w:t>
      </w:r>
      <w:r w:rsidRPr="00C64D42">
        <w:rPr>
          <w:rFonts w:asciiTheme="minorHAnsi" w:eastAsia="Arial" w:hAnsiTheme="minorHAnsi" w:cstheme="minorHAnsi"/>
          <w:color w:val="000000"/>
          <w:lang w:val="en-US"/>
        </w:rPr>
        <w:t xml:space="preserve"> the</w:t>
      </w:r>
      <w:r w:rsidR="00F55C2C" w:rsidRPr="00C64D42">
        <w:rPr>
          <w:rFonts w:asciiTheme="minorHAnsi" w:eastAsia="Arial" w:hAnsiTheme="minorHAnsi" w:cstheme="minorHAnsi"/>
          <w:color w:val="000000"/>
          <w:lang w:val="en-US"/>
        </w:rPr>
        <w:t xml:space="preserve"> US administration preoccupations and its perception of economic challenges. However, its limits are obvious. As a political speech, it presents a partial vision of the situation, accentuating advantages for </w:t>
      </w:r>
      <w:r w:rsidRPr="00C64D42">
        <w:rPr>
          <w:rFonts w:asciiTheme="minorHAnsi" w:eastAsia="Arial" w:hAnsiTheme="minorHAnsi" w:cstheme="minorHAnsi"/>
          <w:color w:val="000000"/>
          <w:lang w:val="en-US"/>
        </w:rPr>
        <w:t xml:space="preserve">the </w:t>
      </w:r>
      <w:r w:rsidR="00F55C2C" w:rsidRPr="00C64D42">
        <w:rPr>
          <w:rFonts w:asciiTheme="minorHAnsi" w:eastAsia="Arial" w:hAnsiTheme="minorHAnsi" w:cstheme="minorHAnsi"/>
          <w:color w:val="000000"/>
          <w:lang w:val="en-US"/>
        </w:rPr>
        <w:t>United States by minimizing potential negative consequences for other countries; but it</w:t>
      </w:r>
      <w:r w:rsidRPr="00C64D42">
        <w:rPr>
          <w:rFonts w:asciiTheme="minorHAnsi" w:eastAsia="Arial" w:hAnsiTheme="minorHAnsi" w:cstheme="minorHAnsi"/>
          <w:color w:val="000000"/>
          <w:lang w:val="en-US"/>
        </w:rPr>
        <w:t xml:space="preserve"> i</w:t>
      </w:r>
      <w:r w:rsidR="00F55C2C" w:rsidRPr="00C64D42">
        <w:rPr>
          <w:rFonts w:asciiTheme="minorHAnsi" w:eastAsia="Arial" w:hAnsiTheme="minorHAnsi" w:cstheme="minorHAnsi"/>
          <w:color w:val="000000"/>
          <w:lang w:val="en-US"/>
        </w:rPr>
        <w:t xml:space="preserve">s in the continuity of the </w:t>
      </w:r>
      <w:r w:rsidRPr="00C64D42">
        <w:rPr>
          <w:rFonts w:asciiTheme="minorHAnsi" w:eastAsia="Arial" w:hAnsiTheme="minorHAnsi" w:cstheme="minorHAnsi"/>
          <w:color w:val="000000"/>
          <w:lang w:val="en-US"/>
        </w:rPr>
        <w:t>so-called</w:t>
      </w:r>
      <w:r w:rsidR="00F55C2C" w:rsidRPr="00C64D42">
        <w:rPr>
          <w:rFonts w:asciiTheme="minorHAnsi" w:eastAsia="Arial" w:hAnsiTheme="minorHAnsi" w:cstheme="minorHAnsi"/>
          <w:color w:val="000000"/>
          <w:lang w:val="en-US"/>
        </w:rPr>
        <w:t xml:space="preserve"> Monroe’s Doctrine. This speech </w:t>
      </w:r>
      <w:r w:rsidRPr="00C64D42">
        <w:rPr>
          <w:rFonts w:asciiTheme="minorHAnsi" w:eastAsia="Arial" w:hAnsiTheme="minorHAnsi" w:cstheme="minorHAnsi"/>
          <w:color w:val="000000"/>
          <w:lang w:val="en-US"/>
        </w:rPr>
        <w:t xml:space="preserve">also </w:t>
      </w:r>
      <w:r w:rsidR="00F55C2C" w:rsidRPr="00C64D42">
        <w:rPr>
          <w:rFonts w:asciiTheme="minorHAnsi" w:eastAsia="Arial" w:hAnsiTheme="minorHAnsi" w:cstheme="minorHAnsi"/>
          <w:color w:val="000000"/>
          <w:lang w:val="en-US"/>
        </w:rPr>
        <w:t>reveals the tension between national and international considerations. Nixon insist</w:t>
      </w:r>
      <w:r w:rsidRPr="00C64D42">
        <w:rPr>
          <w:rFonts w:asciiTheme="minorHAnsi" w:eastAsia="Arial" w:hAnsiTheme="minorHAnsi" w:cstheme="minorHAnsi"/>
          <w:color w:val="000000"/>
          <w:lang w:val="en-US"/>
        </w:rPr>
        <w:t>s</w:t>
      </w:r>
      <w:r w:rsidR="00F55C2C" w:rsidRPr="00C64D42">
        <w:rPr>
          <w:rFonts w:asciiTheme="minorHAnsi" w:eastAsia="Arial" w:hAnsiTheme="minorHAnsi" w:cstheme="minorHAnsi"/>
          <w:color w:val="000000"/>
          <w:lang w:val="en-US"/>
        </w:rPr>
        <w:t xml:space="preserve"> on the necessity of a “strong American economy” to maintain “a world strong America”</w:t>
      </w:r>
      <w:r w:rsidR="00F55C2C" w:rsidRPr="00C64D42">
        <w:rPr>
          <w:rStyle w:val="Appelnotedebasdep"/>
          <w:rFonts w:asciiTheme="minorHAnsi" w:eastAsia="Arial" w:hAnsiTheme="minorHAnsi" w:cstheme="minorHAnsi"/>
          <w:color w:val="000000"/>
          <w:lang w:val="en-US"/>
        </w:rPr>
        <w:footnoteReference w:id="5"/>
      </w:r>
      <w:r w:rsidR="00F55C2C" w:rsidRPr="00C64D42">
        <w:rPr>
          <w:rFonts w:asciiTheme="minorHAnsi" w:eastAsia="Arial" w:hAnsiTheme="minorHAnsi" w:cstheme="minorHAnsi"/>
          <w:color w:val="000000"/>
          <w:lang w:val="en-US"/>
        </w:rPr>
        <w:t>, illustrating the interconnexion between internal and external policies. So</w:t>
      </w:r>
      <w:r w:rsidRPr="00C64D42">
        <w:rPr>
          <w:rFonts w:asciiTheme="minorHAnsi" w:eastAsia="Arial" w:hAnsiTheme="minorHAnsi" w:cstheme="minorHAnsi"/>
          <w:color w:val="000000"/>
          <w:lang w:val="en-US"/>
        </w:rPr>
        <w:t>,</w:t>
      </w:r>
      <w:r w:rsidR="00F55C2C" w:rsidRPr="00C64D42">
        <w:rPr>
          <w:rFonts w:asciiTheme="minorHAnsi" w:eastAsia="Arial" w:hAnsiTheme="minorHAnsi" w:cstheme="minorHAnsi"/>
          <w:color w:val="000000"/>
          <w:lang w:val="en-US"/>
        </w:rPr>
        <w:t xml:space="preserve"> this source is precious to understand how Nixon decision has been presented and justified at international and American public.</w:t>
      </w:r>
    </w:p>
    <w:p w14:paraId="79576A0D" w14:textId="7E50B37C" w:rsidR="006405ED" w:rsidRPr="00C64D42" w:rsidRDefault="006405ED" w:rsidP="00C97B1A">
      <w:pPr>
        <w:spacing w:line="480" w:lineRule="auto"/>
        <w:jc w:val="both"/>
        <w:rPr>
          <w:rFonts w:asciiTheme="minorHAnsi" w:hAnsiTheme="minorHAnsi" w:cstheme="minorHAnsi"/>
          <w:lang w:val="en-US"/>
        </w:rPr>
      </w:pPr>
    </w:p>
    <w:p w14:paraId="1F56F61B" w14:textId="77777777" w:rsidR="0035614E" w:rsidRPr="00C64D42" w:rsidRDefault="00FB2927" w:rsidP="0035614E">
      <w:pPr>
        <w:spacing w:line="480" w:lineRule="auto"/>
        <w:ind w:firstLine="708"/>
        <w:jc w:val="both"/>
        <w:rPr>
          <w:rFonts w:asciiTheme="minorHAnsi" w:hAnsiTheme="minorHAnsi" w:cstheme="minorHAnsi"/>
          <w:lang w:val="en-US"/>
        </w:rPr>
      </w:pPr>
      <w:r w:rsidRPr="00C64D42">
        <w:rPr>
          <w:rFonts w:asciiTheme="minorHAnsi" w:hAnsiTheme="minorHAnsi" w:cstheme="minorHAnsi"/>
          <w:lang w:val="en-US"/>
        </w:rPr>
        <w:t>Pompidou’s press conference o</w:t>
      </w:r>
      <w:r w:rsidR="0035614E" w:rsidRPr="00C64D42">
        <w:rPr>
          <w:rFonts w:asciiTheme="minorHAnsi" w:hAnsiTheme="minorHAnsi" w:cstheme="minorHAnsi"/>
          <w:lang w:val="en-US"/>
        </w:rPr>
        <w:t>n</w:t>
      </w:r>
      <w:r w:rsidRPr="00C64D42">
        <w:rPr>
          <w:rFonts w:asciiTheme="minorHAnsi" w:hAnsiTheme="minorHAnsi" w:cstheme="minorHAnsi"/>
          <w:lang w:val="en-US"/>
        </w:rPr>
        <w:t xml:space="preserve"> September 23, 1971</w:t>
      </w:r>
      <w:r w:rsidR="00F55C2C" w:rsidRPr="00C64D42">
        <w:rPr>
          <w:rStyle w:val="Appelnotedebasdep"/>
          <w:rFonts w:asciiTheme="minorHAnsi" w:hAnsiTheme="minorHAnsi" w:cstheme="minorHAnsi"/>
          <w:lang w:val="en-US"/>
        </w:rPr>
        <w:footnoteReference w:id="6"/>
      </w:r>
      <w:r w:rsidRPr="00C64D42">
        <w:rPr>
          <w:rFonts w:asciiTheme="minorHAnsi" w:hAnsiTheme="minorHAnsi" w:cstheme="minorHAnsi"/>
          <w:lang w:val="en-US"/>
        </w:rPr>
        <w:t xml:space="preserve"> offer</w:t>
      </w:r>
      <w:r w:rsidR="0035614E" w:rsidRPr="00C64D42">
        <w:rPr>
          <w:rFonts w:asciiTheme="minorHAnsi" w:hAnsiTheme="minorHAnsi" w:cstheme="minorHAnsi"/>
          <w:lang w:val="en-US"/>
        </w:rPr>
        <w:t>s</w:t>
      </w:r>
      <w:r w:rsidRPr="00C64D42">
        <w:rPr>
          <w:rFonts w:asciiTheme="minorHAnsi" w:hAnsiTheme="minorHAnsi" w:cstheme="minorHAnsi"/>
          <w:lang w:val="en-US"/>
        </w:rPr>
        <w:t xml:space="preserve"> a European crucial perspective on Nixon</w:t>
      </w:r>
      <w:r w:rsidR="0035614E" w:rsidRPr="00C64D42">
        <w:rPr>
          <w:rFonts w:asciiTheme="minorHAnsi" w:hAnsiTheme="minorHAnsi" w:cstheme="minorHAnsi"/>
          <w:lang w:val="en-US"/>
        </w:rPr>
        <w:t>’s</w:t>
      </w:r>
      <w:r w:rsidRPr="00C64D42">
        <w:rPr>
          <w:rFonts w:asciiTheme="minorHAnsi" w:hAnsiTheme="minorHAnsi" w:cstheme="minorHAnsi"/>
          <w:lang w:val="en-US"/>
        </w:rPr>
        <w:t xml:space="preserve"> decision. Pompidou qualified this decision of “sudden” and underlined its consequences which can be potentially destabilizing for world economy</w:t>
      </w:r>
      <w:r w:rsidR="00F55C2C" w:rsidRPr="00C64D42">
        <w:rPr>
          <w:rStyle w:val="Appelnotedebasdep"/>
          <w:rFonts w:asciiTheme="minorHAnsi" w:hAnsiTheme="minorHAnsi" w:cstheme="minorHAnsi"/>
          <w:lang w:val="en-US"/>
        </w:rPr>
        <w:footnoteReference w:id="7"/>
      </w:r>
      <w:r w:rsidRPr="00C64D42">
        <w:rPr>
          <w:rFonts w:asciiTheme="minorHAnsi" w:hAnsiTheme="minorHAnsi" w:cstheme="minorHAnsi"/>
          <w:lang w:val="en-US"/>
        </w:rPr>
        <w:t xml:space="preserve">. He expressed European worries concerning the devaluation of the dollar and its effects on the international market. </w:t>
      </w:r>
    </w:p>
    <w:p w14:paraId="68913B4B" w14:textId="40A89A18" w:rsidR="00E96F95" w:rsidRDefault="0035614E" w:rsidP="0035614E">
      <w:pPr>
        <w:spacing w:line="480" w:lineRule="auto"/>
        <w:ind w:firstLine="708"/>
        <w:jc w:val="both"/>
        <w:rPr>
          <w:rFonts w:asciiTheme="minorHAnsi" w:hAnsiTheme="minorHAnsi" w:cstheme="minorHAnsi"/>
          <w:lang w:val="en-US"/>
        </w:rPr>
      </w:pPr>
      <w:r w:rsidRPr="00C64D42">
        <w:rPr>
          <w:rFonts w:asciiTheme="minorHAnsi" w:hAnsiTheme="minorHAnsi" w:cstheme="minorHAnsi"/>
          <w:lang w:val="en-US"/>
        </w:rPr>
        <w:t xml:space="preserve">A value of the origin of </w:t>
      </w:r>
      <w:r w:rsidR="004023F0" w:rsidRPr="00C64D42">
        <w:rPr>
          <w:rFonts w:asciiTheme="minorHAnsi" w:hAnsiTheme="minorHAnsi" w:cstheme="minorHAnsi"/>
          <w:lang w:val="en-US"/>
        </w:rPr>
        <w:t>t</w:t>
      </w:r>
      <w:r w:rsidR="00FB2927" w:rsidRPr="00C64D42">
        <w:rPr>
          <w:rFonts w:asciiTheme="minorHAnsi" w:hAnsiTheme="minorHAnsi" w:cstheme="minorHAnsi"/>
          <w:lang w:val="en-US"/>
        </w:rPr>
        <w:t xml:space="preserve">his </w:t>
      </w:r>
      <w:r w:rsidR="004023F0" w:rsidRPr="00C64D42">
        <w:rPr>
          <w:rFonts w:asciiTheme="minorHAnsi" w:hAnsiTheme="minorHAnsi" w:cstheme="minorHAnsi"/>
          <w:lang w:val="en-US"/>
        </w:rPr>
        <w:t xml:space="preserve">precious </w:t>
      </w:r>
      <w:r w:rsidR="00FB2927" w:rsidRPr="00C64D42">
        <w:rPr>
          <w:rFonts w:asciiTheme="minorHAnsi" w:hAnsiTheme="minorHAnsi" w:cstheme="minorHAnsi"/>
          <w:lang w:val="en-US"/>
        </w:rPr>
        <w:t xml:space="preserve">source is </w:t>
      </w:r>
      <w:r w:rsidR="004023F0" w:rsidRPr="00C64D42">
        <w:rPr>
          <w:rFonts w:asciiTheme="minorHAnsi" w:hAnsiTheme="minorHAnsi" w:cstheme="minorHAnsi"/>
          <w:lang w:val="en-US"/>
        </w:rPr>
        <w:t xml:space="preserve">that it </w:t>
      </w:r>
      <w:r w:rsidR="00FB2927" w:rsidRPr="00C64D42">
        <w:rPr>
          <w:rFonts w:asciiTheme="minorHAnsi" w:hAnsiTheme="minorHAnsi" w:cstheme="minorHAnsi"/>
          <w:lang w:val="en-US"/>
        </w:rPr>
        <w:t xml:space="preserve">highlights </w:t>
      </w:r>
      <w:r w:rsidR="00F55C2C" w:rsidRPr="00C64D42">
        <w:rPr>
          <w:rFonts w:asciiTheme="minorHAnsi" w:hAnsiTheme="minorHAnsi" w:cstheme="minorHAnsi"/>
          <w:lang w:val="en-US"/>
        </w:rPr>
        <w:t>transatlantic</w:t>
      </w:r>
      <w:r w:rsidR="00FB2927" w:rsidRPr="00C64D42">
        <w:rPr>
          <w:rFonts w:asciiTheme="minorHAnsi" w:hAnsiTheme="minorHAnsi" w:cstheme="minorHAnsi"/>
          <w:lang w:val="en-US"/>
        </w:rPr>
        <w:t xml:space="preserve"> tensions resulting from </w:t>
      </w:r>
      <w:r w:rsidR="004023F0" w:rsidRPr="00C64D42">
        <w:rPr>
          <w:rFonts w:asciiTheme="minorHAnsi" w:hAnsiTheme="minorHAnsi" w:cstheme="minorHAnsi"/>
          <w:lang w:val="en-US"/>
        </w:rPr>
        <w:t xml:space="preserve">the </w:t>
      </w:r>
      <w:r w:rsidR="00FB2927" w:rsidRPr="00C64D42">
        <w:rPr>
          <w:rFonts w:asciiTheme="minorHAnsi" w:hAnsiTheme="minorHAnsi" w:cstheme="minorHAnsi"/>
          <w:lang w:val="en-US"/>
        </w:rPr>
        <w:t>US decision. Pompidou criticizes the lack of pre-consultation saying that “United States took a fragile unilateral decision without consulting their allies”</w:t>
      </w:r>
      <w:r w:rsidR="00F55C2C" w:rsidRPr="00C64D42">
        <w:rPr>
          <w:rStyle w:val="Appelnotedebasdep"/>
          <w:rFonts w:asciiTheme="minorHAnsi" w:hAnsiTheme="minorHAnsi" w:cstheme="minorHAnsi"/>
          <w:lang w:val="en-US"/>
        </w:rPr>
        <w:footnoteReference w:id="8"/>
      </w:r>
      <w:r w:rsidR="00FB2927" w:rsidRPr="00C64D42">
        <w:rPr>
          <w:rFonts w:asciiTheme="minorHAnsi" w:hAnsiTheme="minorHAnsi" w:cstheme="minorHAnsi"/>
          <w:lang w:val="en-US"/>
        </w:rPr>
        <w:t>. It reveal</w:t>
      </w:r>
      <w:r w:rsidR="004023F0" w:rsidRPr="00C64D42">
        <w:rPr>
          <w:rFonts w:asciiTheme="minorHAnsi" w:hAnsiTheme="minorHAnsi" w:cstheme="minorHAnsi"/>
          <w:lang w:val="en-US"/>
        </w:rPr>
        <w:t>s</w:t>
      </w:r>
      <w:r w:rsidR="00FB2927" w:rsidRPr="00C64D42">
        <w:rPr>
          <w:rFonts w:asciiTheme="minorHAnsi" w:hAnsiTheme="minorHAnsi" w:cstheme="minorHAnsi"/>
          <w:lang w:val="en-US"/>
        </w:rPr>
        <w:t xml:space="preserve"> the </w:t>
      </w:r>
      <w:r w:rsidR="00FB2927" w:rsidRPr="00C64D42">
        <w:rPr>
          <w:rFonts w:asciiTheme="minorHAnsi" w:hAnsiTheme="minorHAnsi" w:cstheme="minorHAnsi"/>
          <w:lang w:val="en-US"/>
        </w:rPr>
        <w:lastRenderedPageBreak/>
        <w:t>weakness of international relationship and the questioning back of the American leadership in the international monetary system. However, this source has limits, as Nixon’s speech. As the official French response, it reflects principally Fr</w:t>
      </w:r>
      <w:r w:rsidR="004023F0" w:rsidRPr="00C64D42">
        <w:rPr>
          <w:rFonts w:asciiTheme="minorHAnsi" w:hAnsiTheme="minorHAnsi" w:cstheme="minorHAnsi"/>
          <w:lang w:val="en-US"/>
        </w:rPr>
        <w:t>ench</w:t>
      </w:r>
      <w:r w:rsidR="00FB2927" w:rsidRPr="00C64D42">
        <w:rPr>
          <w:rFonts w:asciiTheme="minorHAnsi" w:hAnsiTheme="minorHAnsi" w:cstheme="minorHAnsi"/>
          <w:lang w:val="en-US"/>
        </w:rPr>
        <w:t xml:space="preserve"> preoccupations, which aren’t representative of all Europe. Moreover, Pompidou’s diplomatically tone can attenuate more severe critics. Nevertheless, this source is crucial to understand international repercussions of Nixon decision. It illustrates how the abandonment of the gold standard exchanges contribute</w:t>
      </w:r>
      <w:r w:rsidR="004023F0" w:rsidRPr="00C64D42">
        <w:rPr>
          <w:rFonts w:asciiTheme="minorHAnsi" w:hAnsiTheme="minorHAnsi" w:cstheme="minorHAnsi"/>
          <w:lang w:val="en-US"/>
        </w:rPr>
        <w:t>d</w:t>
      </w:r>
      <w:r w:rsidR="00FB2927" w:rsidRPr="00C64D42">
        <w:rPr>
          <w:rFonts w:asciiTheme="minorHAnsi" w:hAnsiTheme="minorHAnsi" w:cstheme="minorHAnsi"/>
          <w:lang w:val="en-US"/>
        </w:rPr>
        <w:t xml:space="preserve"> to reconfigure economic and political relationship between </w:t>
      </w:r>
      <w:r w:rsidR="004023F0" w:rsidRPr="00C64D42">
        <w:rPr>
          <w:rFonts w:asciiTheme="minorHAnsi" w:hAnsiTheme="minorHAnsi" w:cstheme="minorHAnsi"/>
          <w:lang w:val="en-US"/>
        </w:rPr>
        <w:t xml:space="preserve">the </w:t>
      </w:r>
      <w:r w:rsidR="00FB2927" w:rsidRPr="00C64D42">
        <w:rPr>
          <w:rFonts w:asciiTheme="minorHAnsi" w:hAnsiTheme="minorHAnsi" w:cstheme="minorHAnsi"/>
          <w:lang w:val="en-US"/>
        </w:rPr>
        <w:t xml:space="preserve">United States and Europe, </w:t>
      </w:r>
      <w:r w:rsidR="004023F0" w:rsidRPr="00C64D42">
        <w:rPr>
          <w:rFonts w:asciiTheme="minorHAnsi" w:hAnsiTheme="minorHAnsi" w:cstheme="minorHAnsi"/>
          <w:lang w:val="en-US"/>
        </w:rPr>
        <w:t>thus, setting</w:t>
      </w:r>
      <w:r w:rsidR="00FB2927" w:rsidRPr="00C64D42">
        <w:rPr>
          <w:rFonts w:asciiTheme="minorHAnsi" w:hAnsiTheme="minorHAnsi" w:cstheme="minorHAnsi"/>
          <w:lang w:val="en-US"/>
        </w:rPr>
        <w:t xml:space="preserve"> bases of new dynamics in world economy.</w:t>
      </w:r>
    </w:p>
    <w:p w14:paraId="3C1DB593" w14:textId="5ACBAC21" w:rsidR="00094FC7" w:rsidRDefault="00094FC7">
      <w:pPr>
        <w:rPr>
          <w:rFonts w:asciiTheme="minorHAnsi" w:hAnsiTheme="minorHAnsi" w:cstheme="minorHAnsi"/>
          <w:lang w:val="en-US"/>
        </w:rPr>
      </w:pPr>
      <w:r>
        <w:rPr>
          <w:rFonts w:asciiTheme="minorHAnsi" w:hAnsiTheme="minorHAnsi" w:cstheme="minorHAnsi"/>
          <w:lang w:val="en-US"/>
        </w:rPr>
        <w:br w:type="page"/>
      </w:r>
    </w:p>
    <w:p w14:paraId="269C997E" w14:textId="77777777" w:rsidR="00E96F95" w:rsidRDefault="00E96F95" w:rsidP="00094FC7">
      <w:pPr>
        <w:pStyle w:val="Titre1"/>
        <w:jc w:val="center"/>
        <w:rPr>
          <w:lang w:val="en-US"/>
        </w:rPr>
      </w:pPr>
      <w:bookmarkStart w:id="1" w:name="_Toc177227824"/>
      <w:r w:rsidRPr="4F8C6665">
        <w:rPr>
          <w:u w:val="single"/>
          <w:lang w:val="en-US"/>
        </w:rPr>
        <w:lastRenderedPageBreak/>
        <w:t xml:space="preserve">Section </w:t>
      </w:r>
      <w:r w:rsidR="00461E5C" w:rsidRPr="4F8C6665">
        <w:rPr>
          <w:u w:val="single"/>
          <w:lang w:val="en-US"/>
        </w:rPr>
        <w:t>B</w:t>
      </w:r>
      <w:r w:rsidRPr="4F8C6665">
        <w:rPr>
          <w:lang w:val="en-US"/>
        </w:rPr>
        <w:t xml:space="preserve"> – Investigation</w:t>
      </w:r>
      <w:bookmarkEnd w:id="1"/>
    </w:p>
    <w:p w14:paraId="210683DA" w14:textId="77777777" w:rsidR="00FB776A" w:rsidRDefault="00FB776A" w:rsidP="00FB776A">
      <w:pPr>
        <w:rPr>
          <w:lang w:val="en-US"/>
        </w:rPr>
      </w:pPr>
    </w:p>
    <w:p w14:paraId="30F0B314" w14:textId="77777777" w:rsidR="00FB776A" w:rsidRDefault="00FB776A" w:rsidP="00FB776A">
      <w:pPr>
        <w:rPr>
          <w:lang w:val="en-US"/>
        </w:rPr>
      </w:pPr>
    </w:p>
    <w:p w14:paraId="46245073" w14:textId="022242A9" w:rsidR="00140236" w:rsidRPr="00C64D42" w:rsidRDefault="00140236" w:rsidP="00552E10">
      <w:pPr>
        <w:spacing w:line="480" w:lineRule="auto"/>
        <w:ind w:firstLine="708"/>
        <w:jc w:val="both"/>
        <w:rPr>
          <w:rFonts w:asciiTheme="minorHAnsi" w:hAnsiTheme="minorHAnsi" w:cstheme="minorHAnsi"/>
          <w:lang w:val="en-US"/>
        </w:rPr>
      </w:pPr>
      <w:r w:rsidRPr="00C64D42">
        <w:rPr>
          <w:rFonts w:asciiTheme="minorHAnsi" w:hAnsiTheme="minorHAnsi" w:cstheme="minorHAnsi"/>
          <w:lang w:val="en-US"/>
        </w:rPr>
        <w:t xml:space="preserve">On august 15, 1971, American president Richard Nixon announced a decision that would turn the world economic order: the abandonment of gold standard exchange. This act, which put an end to the 1944 Bretton Wood system of Keynes and White, played a crucial role in the general crisis of the 70’s. To understand </w:t>
      </w:r>
      <w:r w:rsidR="00552E10" w:rsidRPr="00C64D42">
        <w:rPr>
          <w:rFonts w:asciiTheme="minorHAnsi" w:hAnsiTheme="minorHAnsi" w:cstheme="minorHAnsi"/>
          <w:lang w:val="en-US"/>
        </w:rPr>
        <w:t>its</w:t>
      </w:r>
      <w:r w:rsidRPr="00C64D42">
        <w:rPr>
          <w:rFonts w:asciiTheme="minorHAnsi" w:hAnsiTheme="minorHAnsi" w:cstheme="minorHAnsi"/>
          <w:lang w:val="en-US"/>
        </w:rPr>
        <w:t xml:space="preserve"> impact, it</w:t>
      </w:r>
      <w:r w:rsidR="00552E10" w:rsidRPr="00C64D42">
        <w:rPr>
          <w:rFonts w:asciiTheme="minorHAnsi" w:hAnsiTheme="minorHAnsi" w:cstheme="minorHAnsi"/>
          <w:lang w:val="en-US"/>
        </w:rPr>
        <w:t xml:space="preserve"> i</w:t>
      </w:r>
      <w:r w:rsidRPr="00C64D42">
        <w:rPr>
          <w:rFonts w:asciiTheme="minorHAnsi" w:hAnsiTheme="minorHAnsi" w:cstheme="minorHAnsi"/>
          <w:lang w:val="en-US"/>
        </w:rPr>
        <w:t>s essential to adopt an historical perspective, examining not only economic factors, but also political and social contexts at that time. By using primary sources such as Nixon’s speech</w:t>
      </w:r>
      <w:r w:rsidR="004F3EFB" w:rsidRPr="00C64D42">
        <w:rPr>
          <w:rStyle w:val="Appelnotedebasdep"/>
          <w:rFonts w:asciiTheme="minorHAnsi" w:hAnsiTheme="minorHAnsi" w:cstheme="minorHAnsi"/>
          <w:lang w:val="en-US"/>
        </w:rPr>
        <w:footnoteReference w:id="9"/>
      </w:r>
      <w:r w:rsidRPr="00C64D42">
        <w:rPr>
          <w:rFonts w:asciiTheme="minorHAnsi" w:hAnsiTheme="minorHAnsi" w:cstheme="minorHAnsi"/>
          <w:lang w:val="en-US"/>
        </w:rPr>
        <w:t xml:space="preserve"> and French president Pompidou</w:t>
      </w:r>
      <w:r w:rsidR="00552E10" w:rsidRPr="00C64D42">
        <w:rPr>
          <w:rFonts w:asciiTheme="minorHAnsi" w:hAnsiTheme="minorHAnsi" w:cstheme="minorHAnsi"/>
          <w:lang w:val="en-US"/>
        </w:rPr>
        <w:t>’s</w:t>
      </w:r>
      <w:r w:rsidRPr="00C64D42">
        <w:rPr>
          <w:rFonts w:asciiTheme="minorHAnsi" w:hAnsiTheme="minorHAnsi" w:cstheme="minorHAnsi"/>
          <w:lang w:val="en-US"/>
        </w:rPr>
        <w:t xml:space="preserve"> response</w:t>
      </w:r>
      <w:r w:rsidR="004F3EFB" w:rsidRPr="00C64D42">
        <w:rPr>
          <w:rStyle w:val="Appelnotedebasdep"/>
          <w:rFonts w:asciiTheme="minorHAnsi" w:hAnsiTheme="minorHAnsi" w:cstheme="minorHAnsi"/>
          <w:lang w:val="en-US"/>
        </w:rPr>
        <w:footnoteReference w:id="10"/>
      </w:r>
      <w:r w:rsidRPr="00C64D42">
        <w:rPr>
          <w:rFonts w:asciiTheme="minorHAnsi" w:hAnsiTheme="minorHAnsi" w:cstheme="minorHAnsi"/>
          <w:lang w:val="en-US"/>
        </w:rPr>
        <w:t xml:space="preserve">, </w:t>
      </w:r>
      <w:r w:rsidR="00552E10" w:rsidRPr="00C64D42">
        <w:rPr>
          <w:rFonts w:asciiTheme="minorHAnsi" w:hAnsiTheme="minorHAnsi" w:cstheme="minorHAnsi"/>
          <w:lang w:val="en-US"/>
        </w:rPr>
        <w:t>as well as</w:t>
      </w:r>
      <w:r w:rsidRPr="00C64D42">
        <w:rPr>
          <w:rFonts w:asciiTheme="minorHAnsi" w:hAnsiTheme="minorHAnsi" w:cstheme="minorHAnsi"/>
          <w:lang w:val="en-US"/>
        </w:rPr>
        <w:t xml:space="preserve"> historical analysis as the one of Schulman</w:t>
      </w:r>
      <w:r w:rsidR="004F3EFB" w:rsidRPr="00C64D42">
        <w:rPr>
          <w:rStyle w:val="Appelnotedebasdep"/>
          <w:rFonts w:asciiTheme="minorHAnsi" w:hAnsiTheme="minorHAnsi" w:cstheme="minorHAnsi"/>
          <w:lang w:val="en-US"/>
        </w:rPr>
        <w:footnoteReference w:id="11"/>
      </w:r>
      <w:r w:rsidRPr="00C64D42">
        <w:rPr>
          <w:rFonts w:asciiTheme="minorHAnsi" w:hAnsiTheme="minorHAnsi" w:cstheme="minorHAnsi"/>
          <w:lang w:val="en-US"/>
        </w:rPr>
        <w:t xml:space="preserve"> and Stein</w:t>
      </w:r>
      <w:r w:rsidR="004F3EFB" w:rsidRPr="00C64D42">
        <w:rPr>
          <w:rStyle w:val="Appelnotedebasdep"/>
          <w:rFonts w:asciiTheme="minorHAnsi" w:hAnsiTheme="minorHAnsi" w:cstheme="minorHAnsi"/>
          <w:lang w:val="en-US"/>
        </w:rPr>
        <w:footnoteReference w:id="12"/>
      </w:r>
      <w:r w:rsidRPr="00C64D42">
        <w:rPr>
          <w:rFonts w:asciiTheme="minorHAnsi" w:hAnsiTheme="minorHAnsi" w:cstheme="minorHAnsi"/>
          <w:lang w:val="en-US"/>
        </w:rPr>
        <w:t xml:space="preserve">, we will explore reasons of this decision, and its consequences on the short and the long term, and its place in </w:t>
      </w:r>
      <w:r w:rsidR="00552E10" w:rsidRPr="00C64D42">
        <w:rPr>
          <w:rFonts w:asciiTheme="minorHAnsi" w:hAnsiTheme="minorHAnsi" w:cstheme="minorHAnsi"/>
          <w:lang w:val="en-US"/>
        </w:rPr>
        <w:t xml:space="preserve">the </w:t>
      </w:r>
      <w:r w:rsidRPr="00C64D42">
        <w:rPr>
          <w:rFonts w:asciiTheme="minorHAnsi" w:hAnsiTheme="minorHAnsi" w:cstheme="minorHAnsi"/>
          <w:lang w:val="en-US"/>
        </w:rPr>
        <w:t>economic history of the twentieth century.</w:t>
      </w:r>
    </w:p>
    <w:p w14:paraId="512EC46F" w14:textId="77777777" w:rsidR="006405ED" w:rsidRPr="00C64D42" w:rsidRDefault="006405ED" w:rsidP="00C97B1A">
      <w:pPr>
        <w:spacing w:line="480" w:lineRule="auto"/>
        <w:jc w:val="both"/>
        <w:rPr>
          <w:rFonts w:asciiTheme="minorHAnsi" w:hAnsiTheme="minorHAnsi" w:cstheme="minorHAnsi"/>
          <w:lang w:val="en-US"/>
        </w:rPr>
      </w:pPr>
      <w:r w:rsidRPr="00C64D42">
        <w:rPr>
          <w:rFonts w:asciiTheme="minorHAnsi" w:hAnsiTheme="minorHAnsi" w:cstheme="minorHAnsi"/>
          <w:lang w:val="en-US"/>
        </w:rPr>
        <w:t xml:space="preserve"> </w:t>
      </w:r>
    </w:p>
    <w:p w14:paraId="0AC50CD9" w14:textId="5B930265" w:rsidR="00D54C11" w:rsidRPr="00C64D42" w:rsidRDefault="006405ED" w:rsidP="00C057A0">
      <w:pPr>
        <w:spacing w:line="480" w:lineRule="auto"/>
        <w:ind w:firstLine="708"/>
        <w:jc w:val="both"/>
        <w:rPr>
          <w:rFonts w:asciiTheme="minorHAnsi" w:hAnsiTheme="minorHAnsi" w:cstheme="minorHAnsi"/>
          <w:lang w:val="en-US"/>
        </w:rPr>
      </w:pPr>
      <w:r w:rsidRPr="00C64D42">
        <w:rPr>
          <w:rFonts w:asciiTheme="minorHAnsi" w:hAnsiTheme="minorHAnsi" w:cstheme="minorHAnsi"/>
          <w:lang w:val="en-US"/>
        </w:rPr>
        <w:t>Nixon's decision to withdraw the dollar's gold backing came against a complex historical context distinguished by financial, political, and geopolitical obstacles. First and foremost, America is grappling with increasing financial stress. As Schulman points out in "The Seventies"</w:t>
      </w:r>
      <w:r w:rsidRPr="00C64D42">
        <w:rPr>
          <w:rFonts w:asciiTheme="minorHAnsi" w:hAnsiTheme="minorHAnsi" w:cstheme="minorHAnsi"/>
          <w:vertAlign w:val="superscript"/>
        </w:rPr>
        <w:footnoteReference w:id="13"/>
      </w:r>
      <w:r w:rsidRPr="00C64D42">
        <w:rPr>
          <w:rFonts w:asciiTheme="minorHAnsi" w:hAnsiTheme="minorHAnsi" w:cstheme="minorHAnsi"/>
          <w:lang w:val="en-US"/>
        </w:rPr>
        <w:t>, the American financial system has experienced continuous stagflation, which combined excessive inflation with poor growth. This predicament was compounded by the expenses of the Vietnam War, which weighed heavily on the government budget</w:t>
      </w:r>
      <w:r w:rsidRPr="00C64D42">
        <w:rPr>
          <w:rFonts w:asciiTheme="minorHAnsi" w:hAnsiTheme="minorHAnsi" w:cstheme="minorHAnsi"/>
          <w:vertAlign w:val="superscript"/>
        </w:rPr>
        <w:footnoteReference w:id="14"/>
      </w:r>
      <w:r w:rsidRPr="00C64D42">
        <w:rPr>
          <w:rFonts w:asciiTheme="minorHAnsi" w:hAnsiTheme="minorHAnsi" w:cstheme="minorHAnsi"/>
          <w:lang w:val="en-US"/>
        </w:rPr>
        <w:t xml:space="preserve">. In </w:t>
      </w:r>
      <w:r w:rsidRPr="00C64D42">
        <w:rPr>
          <w:rFonts w:asciiTheme="minorHAnsi" w:hAnsiTheme="minorHAnsi" w:cstheme="minorHAnsi"/>
          <w:lang w:val="en-US"/>
        </w:rPr>
        <w:lastRenderedPageBreak/>
        <w:t>addition, the Bretton Woods system, which was established in 1944, was exhibiting signs of fragility. Eichengreen notes in "Globalizing Capital"</w:t>
      </w:r>
      <w:r w:rsidRPr="00C64D42">
        <w:rPr>
          <w:rFonts w:asciiTheme="minorHAnsi" w:hAnsiTheme="minorHAnsi" w:cstheme="minorHAnsi"/>
          <w:vertAlign w:val="superscript"/>
        </w:rPr>
        <w:footnoteReference w:id="15"/>
      </w:r>
      <w:r w:rsidRPr="00C64D42">
        <w:rPr>
          <w:rFonts w:asciiTheme="minorHAnsi" w:hAnsiTheme="minorHAnsi" w:cstheme="minorHAnsi"/>
          <w:lang w:val="en-US"/>
        </w:rPr>
        <w:t xml:space="preserve"> that the dollar's convertibility to gold at a fixed rate is becoming increasingly difficult to maintain in the face of growing American change deficits. American gold reserves have suddenly declined, endangering the system's legitimacy. The domestic political climate also had an essential impact. Nixon, facing an impending presidential election in 1972, began attempting to revitalize the US financial sector. As Brinkley and Nichter demonstrate in "The Nixon Tapes: 1971-1972"</w:t>
      </w:r>
      <w:r w:rsidRPr="00C64D42">
        <w:rPr>
          <w:rFonts w:asciiTheme="minorHAnsi" w:hAnsiTheme="minorHAnsi" w:cstheme="minorHAnsi"/>
          <w:vertAlign w:val="superscript"/>
        </w:rPr>
        <w:footnoteReference w:id="16"/>
      </w:r>
      <w:r w:rsidRPr="00C64D42">
        <w:rPr>
          <w:rFonts w:asciiTheme="minorHAnsi" w:hAnsiTheme="minorHAnsi" w:cstheme="minorHAnsi"/>
          <w:lang w:val="en-US"/>
        </w:rPr>
        <w:t>, Nixon and his advisors frequently discussed the need to take drastic actions to strengthen the banking system before the election</w:t>
      </w:r>
      <w:r w:rsidR="00C057A0" w:rsidRPr="00C64D42">
        <w:rPr>
          <w:rFonts w:asciiTheme="minorHAnsi" w:hAnsiTheme="minorHAnsi" w:cstheme="minorHAnsi"/>
          <w:lang w:val="en-US"/>
        </w:rPr>
        <w:t>s</w:t>
      </w:r>
      <w:r w:rsidRPr="00C64D42">
        <w:rPr>
          <w:rFonts w:asciiTheme="minorHAnsi" w:hAnsiTheme="minorHAnsi" w:cstheme="minorHAnsi"/>
          <w:lang w:val="en-US"/>
        </w:rPr>
        <w:t>. Tensions with European allies were rising on a global scale. In "The Battle of Bretton Woods"</w:t>
      </w:r>
      <w:r w:rsidRPr="00C64D42">
        <w:rPr>
          <w:rFonts w:asciiTheme="minorHAnsi" w:hAnsiTheme="minorHAnsi" w:cstheme="minorHAnsi"/>
          <w:vertAlign w:val="superscript"/>
        </w:rPr>
        <w:footnoteReference w:id="17"/>
      </w:r>
      <w:r w:rsidRPr="00C64D42">
        <w:rPr>
          <w:rFonts w:asciiTheme="minorHAnsi" w:hAnsiTheme="minorHAnsi" w:cstheme="minorHAnsi"/>
          <w:lang w:val="en-US"/>
        </w:rPr>
        <w:t xml:space="preserve">, Steil discusses how European countries, particularly France, had become an increasingly important part of America's "exorbitant privilege" inside the international financial system. These comments put pressure on the Nixon administration to act. </w:t>
      </w:r>
      <w:r w:rsidR="00D54C11" w:rsidRPr="00C64D42">
        <w:rPr>
          <w:rFonts w:asciiTheme="minorHAnsi" w:hAnsiTheme="minorHAnsi" w:cstheme="minorHAnsi"/>
          <w:lang w:val="en-US"/>
        </w:rPr>
        <w:t>Finally, Nixon’s speech reveals the language used to justify this decision. He presents this measure as necessary to protect the dollar against “International speculators” and to ensure American competitivity in economic terms. His presentation reflect</w:t>
      </w:r>
      <w:r w:rsidR="00C057A0" w:rsidRPr="00C64D42">
        <w:rPr>
          <w:rFonts w:asciiTheme="minorHAnsi" w:hAnsiTheme="minorHAnsi" w:cstheme="minorHAnsi"/>
          <w:lang w:val="en-US"/>
        </w:rPr>
        <w:t>s</w:t>
      </w:r>
      <w:r w:rsidR="00D54C11" w:rsidRPr="00C64D42">
        <w:rPr>
          <w:rFonts w:asciiTheme="minorHAnsi" w:hAnsiTheme="minorHAnsi" w:cstheme="minorHAnsi"/>
          <w:lang w:val="en-US"/>
        </w:rPr>
        <w:t xml:space="preserve"> Nixon</w:t>
      </w:r>
      <w:r w:rsidR="00C057A0" w:rsidRPr="00C64D42">
        <w:rPr>
          <w:rFonts w:asciiTheme="minorHAnsi" w:hAnsiTheme="minorHAnsi" w:cstheme="minorHAnsi"/>
          <w:lang w:val="en-US"/>
        </w:rPr>
        <w:t>’s</w:t>
      </w:r>
      <w:r w:rsidR="00D54C11" w:rsidRPr="00C64D42">
        <w:rPr>
          <w:rFonts w:asciiTheme="minorHAnsi" w:hAnsiTheme="minorHAnsi" w:cstheme="minorHAnsi"/>
          <w:lang w:val="en-US"/>
        </w:rPr>
        <w:t xml:space="preserve"> wish to center economic policy on national interest of Americans. Thus, Nixon decision was the result of a confluence of historical factors such as internal economics pressions, structural weakness of Bretton Wood system, domestical political considerations and international growing up tensions. This decision marked a turning point in post-war monetary system and the beginning of a new era of international economic relations.</w:t>
      </w:r>
    </w:p>
    <w:p w14:paraId="57CD93B6" w14:textId="448A97D4" w:rsidR="006405ED" w:rsidRPr="00C64D42" w:rsidRDefault="006405ED" w:rsidP="00D54C11">
      <w:pPr>
        <w:spacing w:line="480" w:lineRule="auto"/>
        <w:ind w:left="-5" w:right="-15" w:firstLine="713"/>
        <w:jc w:val="both"/>
        <w:rPr>
          <w:rFonts w:asciiTheme="minorHAnsi" w:hAnsiTheme="minorHAnsi" w:cstheme="minorHAnsi"/>
          <w:lang w:val="en-US"/>
        </w:rPr>
      </w:pPr>
      <w:r w:rsidRPr="00C64D42">
        <w:rPr>
          <w:rFonts w:asciiTheme="minorHAnsi" w:hAnsiTheme="minorHAnsi" w:cstheme="minorHAnsi"/>
          <w:lang w:val="en-US"/>
        </w:rPr>
        <w:t xml:space="preserve"> </w:t>
      </w:r>
    </w:p>
    <w:p w14:paraId="508A93F6" w14:textId="392F65F1" w:rsidR="006405ED" w:rsidRPr="00C64D42" w:rsidRDefault="00C057A0" w:rsidP="00C057A0">
      <w:pPr>
        <w:spacing w:line="480" w:lineRule="auto"/>
        <w:ind w:left="-5" w:right="-15" w:firstLine="713"/>
        <w:jc w:val="both"/>
        <w:rPr>
          <w:rFonts w:asciiTheme="minorHAnsi" w:hAnsiTheme="minorHAnsi" w:cstheme="minorHAnsi"/>
          <w:lang w:val="en-US"/>
        </w:rPr>
      </w:pPr>
      <w:r w:rsidRPr="00C64D42">
        <w:rPr>
          <w:rFonts w:asciiTheme="minorHAnsi" w:hAnsiTheme="minorHAnsi" w:cstheme="minorHAnsi"/>
          <w:lang w:val="en-US"/>
        </w:rPr>
        <w:lastRenderedPageBreak/>
        <w:t>Nixon’s</w:t>
      </w:r>
      <w:r w:rsidR="006405ED" w:rsidRPr="00C64D42">
        <w:rPr>
          <w:rFonts w:asciiTheme="minorHAnsi" w:hAnsiTheme="minorHAnsi" w:cstheme="minorHAnsi"/>
          <w:lang w:val="en-US"/>
        </w:rPr>
        <w:t xml:space="preserve"> decision to abandon the gold standard exchange had deep repercussions on the short term, </w:t>
      </w:r>
      <w:r w:rsidRPr="00C64D42">
        <w:rPr>
          <w:rFonts w:asciiTheme="minorHAnsi" w:hAnsiTheme="minorHAnsi" w:cstheme="minorHAnsi"/>
          <w:lang w:val="en-US"/>
        </w:rPr>
        <w:t xml:space="preserve">significantly </w:t>
      </w:r>
      <w:r w:rsidR="006405ED" w:rsidRPr="00C64D42">
        <w:rPr>
          <w:rFonts w:asciiTheme="minorHAnsi" w:hAnsiTheme="minorHAnsi" w:cstheme="minorHAnsi"/>
          <w:lang w:val="en-US"/>
        </w:rPr>
        <w:t>contributing by that way to the general crisis of the 70’s</w:t>
      </w:r>
      <w:r w:rsidRPr="00C64D42">
        <w:rPr>
          <w:rFonts w:asciiTheme="minorHAnsi" w:hAnsiTheme="minorHAnsi" w:cstheme="minorHAnsi"/>
          <w:lang w:val="en-US"/>
        </w:rPr>
        <w:t>;</w:t>
      </w:r>
      <w:r w:rsidR="006405ED" w:rsidRPr="00C64D42">
        <w:rPr>
          <w:rFonts w:asciiTheme="minorHAnsi" w:hAnsiTheme="minorHAnsi" w:cstheme="minorHAnsi"/>
          <w:lang w:val="en-US"/>
        </w:rPr>
        <w:t xml:space="preserve"> </w:t>
      </w:r>
      <w:r w:rsidRPr="00C64D42">
        <w:rPr>
          <w:rFonts w:asciiTheme="minorHAnsi" w:hAnsiTheme="minorHAnsi" w:cstheme="minorHAnsi"/>
          <w:lang w:val="en-US"/>
        </w:rPr>
        <w:t xml:space="preserve">it also </w:t>
      </w:r>
      <w:r w:rsidR="006405ED" w:rsidRPr="00C64D42">
        <w:rPr>
          <w:rFonts w:asciiTheme="minorHAnsi" w:hAnsiTheme="minorHAnsi" w:cstheme="minorHAnsi"/>
          <w:lang w:val="en-US"/>
        </w:rPr>
        <w:t>provoked a diplomatic and economic shock wave. As underlin</w:t>
      </w:r>
      <w:r w:rsidRPr="00C64D42">
        <w:rPr>
          <w:rFonts w:asciiTheme="minorHAnsi" w:hAnsiTheme="minorHAnsi" w:cstheme="minorHAnsi"/>
          <w:lang w:val="en-US"/>
        </w:rPr>
        <w:t>ed</w:t>
      </w:r>
      <w:r w:rsidR="006405ED" w:rsidRPr="00C64D42">
        <w:rPr>
          <w:rFonts w:asciiTheme="minorHAnsi" w:hAnsiTheme="minorHAnsi" w:cstheme="minorHAnsi"/>
          <w:lang w:val="en-US"/>
        </w:rPr>
        <w:t xml:space="preserve"> by Eichengreen in his book “Globalizing capital”, exchanges rates became volatile, creating new challenges for the international market. This instability sharply affected occidental economies, exacerbating the inflationary tensions already present. The impact on the inflation is particularly marking. Samuelson, in “The Great Inflation and Its Aftermath”, explains how the end of the gold standard exchange allowed a more important monetary expansion, feeding the inflationary spiral which is a characteristic of the 70’s. This galloping inflation has eroded consumers purchasing power and complicated macroeconomic management for governments. </w:t>
      </w:r>
    </w:p>
    <w:p w14:paraId="6F5B13F0" w14:textId="77777777" w:rsidR="006405ED" w:rsidRPr="00C64D42" w:rsidRDefault="006405ED" w:rsidP="00C97B1A">
      <w:pPr>
        <w:spacing w:line="480" w:lineRule="auto"/>
        <w:jc w:val="both"/>
        <w:rPr>
          <w:rFonts w:asciiTheme="minorHAnsi" w:hAnsiTheme="minorHAnsi" w:cstheme="minorHAnsi"/>
          <w:lang w:val="en-US"/>
        </w:rPr>
      </w:pPr>
      <w:r w:rsidRPr="00C64D42">
        <w:rPr>
          <w:rFonts w:asciiTheme="minorHAnsi" w:hAnsiTheme="minorHAnsi" w:cstheme="minorHAnsi"/>
          <w:lang w:val="en-US"/>
        </w:rPr>
        <w:t xml:space="preserve"> </w:t>
      </w:r>
    </w:p>
    <w:p w14:paraId="1418DAA5" w14:textId="72B32A3B" w:rsidR="006405ED" w:rsidRPr="00C64D42" w:rsidRDefault="006405ED" w:rsidP="00C97B1A">
      <w:pPr>
        <w:spacing w:line="480" w:lineRule="auto"/>
        <w:ind w:left="-5" w:right="-15" w:firstLine="713"/>
        <w:jc w:val="both"/>
        <w:rPr>
          <w:rFonts w:asciiTheme="minorHAnsi" w:hAnsiTheme="minorHAnsi" w:cstheme="minorHAnsi"/>
          <w:lang w:val="en-US"/>
        </w:rPr>
      </w:pPr>
      <w:r w:rsidRPr="00C64D42">
        <w:rPr>
          <w:rFonts w:asciiTheme="minorHAnsi" w:hAnsiTheme="minorHAnsi" w:cstheme="minorHAnsi"/>
          <w:lang w:val="en-US"/>
        </w:rPr>
        <w:t xml:space="preserve">Nixon's choices also had a role in exacerbating the 1973 oil crisis. According to Schulman in "The Seventies," the depreciation of the dollar, which coincided with the collapse of the gold standard, led to OPEC's decision to significantly increase oil prices, consequently increasing the financial crisis in Western nations. In terms of worldwide relations, Pompidou’s press conference of September 23, </w:t>
      </w:r>
      <w:r w:rsidR="00C057A0" w:rsidRPr="00C64D42">
        <w:rPr>
          <w:rFonts w:asciiTheme="minorHAnsi" w:hAnsiTheme="minorHAnsi" w:cstheme="minorHAnsi"/>
          <w:lang w:val="en-US"/>
        </w:rPr>
        <w:t>1971,</w:t>
      </w:r>
      <w:r w:rsidRPr="00C64D42">
        <w:rPr>
          <w:rFonts w:asciiTheme="minorHAnsi" w:hAnsiTheme="minorHAnsi" w:cstheme="minorHAnsi"/>
          <w:lang w:val="en-US"/>
        </w:rPr>
        <w:t xml:space="preserve"> illustrates the transatlantic tensions that came after. Pompidou defined the selection as "brutal", highlighting the shortage of earlier session with European allies</w:t>
      </w:r>
      <w:r w:rsidRPr="00C64D42">
        <w:rPr>
          <w:rStyle w:val="Appelnotedebasdep"/>
          <w:rFonts w:asciiTheme="minorHAnsi" w:hAnsiTheme="minorHAnsi" w:cstheme="minorHAnsi"/>
          <w:lang w:val="en-US"/>
        </w:rPr>
        <w:footnoteReference w:id="18"/>
      </w:r>
      <w:r w:rsidRPr="00C64D42">
        <w:rPr>
          <w:rFonts w:asciiTheme="minorHAnsi" w:hAnsiTheme="minorHAnsi" w:cstheme="minorHAnsi"/>
          <w:lang w:val="en-US"/>
        </w:rPr>
        <w:t>. Th</w:t>
      </w:r>
      <w:r w:rsidR="00C057A0" w:rsidRPr="00C64D42">
        <w:rPr>
          <w:rFonts w:asciiTheme="minorHAnsi" w:hAnsiTheme="minorHAnsi" w:cstheme="minorHAnsi"/>
          <w:lang w:val="en-US"/>
        </w:rPr>
        <w:t>e</w:t>
      </w:r>
      <w:r w:rsidRPr="00C64D42">
        <w:rPr>
          <w:rFonts w:asciiTheme="minorHAnsi" w:hAnsiTheme="minorHAnsi" w:cstheme="minorHAnsi"/>
          <w:lang w:val="en-US"/>
        </w:rPr>
        <w:t>se tensions marked the beginning of a rebalancing period of international economics relationships, contributing to the general instability of the decade. In the longer term, this event accelerated the transformation of economic structures. Stein, in "Pivotal Decade"</w:t>
      </w:r>
      <w:r w:rsidRPr="00C64D42">
        <w:rPr>
          <w:rStyle w:val="Appelnotedebasdep"/>
          <w:rFonts w:asciiTheme="minorHAnsi" w:hAnsiTheme="minorHAnsi" w:cstheme="minorHAnsi"/>
          <w:lang w:val="en-US"/>
        </w:rPr>
        <w:footnoteReference w:id="19"/>
      </w:r>
      <w:r w:rsidRPr="00C64D42">
        <w:rPr>
          <w:rFonts w:asciiTheme="minorHAnsi" w:hAnsiTheme="minorHAnsi" w:cstheme="minorHAnsi"/>
          <w:lang w:val="en-US"/>
        </w:rPr>
        <w:t xml:space="preserve">, argues that the end of the Bretton Woods system contributed to the </w:t>
      </w:r>
      <w:r w:rsidRPr="00C64D42">
        <w:rPr>
          <w:rFonts w:asciiTheme="minorHAnsi" w:hAnsiTheme="minorHAnsi" w:cstheme="minorHAnsi"/>
          <w:lang w:val="en-US"/>
        </w:rPr>
        <w:lastRenderedPageBreak/>
        <w:t>emergence of a new era of financialization of the economy, characteristic of the 1970s and beyond. In sum, Nixon`s choice turned into an important catalyst for the disaster of the 1970s, contributing to inflation, economic instability, diplomatic tensions, and structural adjustments withinside the international economy. As Ferguson summarizes in "The Shock of the Global"</w:t>
      </w:r>
      <w:r w:rsidRPr="00C64D42">
        <w:rPr>
          <w:rStyle w:val="Appelnotedebasdep"/>
          <w:rFonts w:asciiTheme="minorHAnsi" w:hAnsiTheme="minorHAnsi" w:cstheme="minorHAnsi"/>
          <w:lang w:val="en-US"/>
        </w:rPr>
        <w:footnoteReference w:id="20"/>
      </w:r>
      <w:r w:rsidRPr="00C64D42">
        <w:rPr>
          <w:rFonts w:asciiTheme="minorHAnsi" w:hAnsiTheme="minorHAnsi" w:cstheme="minorHAnsi"/>
          <w:lang w:val="en-US"/>
        </w:rPr>
        <w:t>, this event marked the beginning of an era of free international financial fluxes but also more volatile, defining the tumultuous economic landscape of the 70</w:t>
      </w:r>
      <w:r w:rsidR="00BD59D2" w:rsidRPr="00C64D42">
        <w:rPr>
          <w:rFonts w:asciiTheme="minorHAnsi" w:hAnsiTheme="minorHAnsi" w:cstheme="minorHAnsi"/>
          <w:lang w:val="en-US"/>
        </w:rPr>
        <w:t>’</w:t>
      </w:r>
      <w:r w:rsidRPr="00C64D42">
        <w:rPr>
          <w:rFonts w:asciiTheme="minorHAnsi" w:hAnsiTheme="minorHAnsi" w:cstheme="minorHAnsi"/>
          <w:lang w:val="en-US"/>
        </w:rPr>
        <w:t xml:space="preserve">s. </w:t>
      </w:r>
    </w:p>
    <w:p w14:paraId="1888BA8B" w14:textId="77777777" w:rsidR="006405ED" w:rsidRPr="00C64D42" w:rsidRDefault="006405ED" w:rsidP="00C97B1A">
      <w:pPr>
        <w:spacing w:line="480" w:lineRule="auto"/>
        <w:jc w:val="both"/>
        <w:rPr>
          <w:rFonts w:asciiTheme="minorHAnsi" w:hAnsiTheme="minorHAnsi" w:cstheme="minorHAnsi"/>
          <w:lang w:val="en-US"/>
        </w:rPr>
      </w:pPr>
      <w:r w:rsidRPr="00C64D42">
        <w:rPr>
          <w:rFonts w:asciiTheme="minorHAnsi" w:hAnsiTheme="minorHAnsi" w:cstheme="minorHAnsi"/>
          <w:lang w:val="en-US"/>
        </w:rPr>
        <w:t xml:space="preserve"> </w:t>
      </w:r>
    </w:p>
    <w:p w14:paraId="50692EBA" w14:textId="4A1D3EAC" w:rsidR="006405ED" w:rsidRPr="00C64D42" w:rsidRDefault="006405ED" w:rsidP="00C97B1A">
      <w:pPr>
        <w:spacing w:after="160" w:line="480" w:lineRule="auto"/>
        <w:ind w:firstLine="708"/>
        <w:jc w:val="both"/>
        <w:rPr>
          <w:rFonts w:asciiTheme="minorHAnsi" w:hAnsiTheme="minorHAnsi" w:cstheme="minorHAnsi"/>
          <w:lang w:val="en-US"/>
        </w:rPr>
      </w:pPr>
      <w:r w:rsidRPr="00C64D42">
        <w:rPr>
          <w:rFonts w:asciiTheme="minorHAnsi" w:hAnsiTheme="minorHAnsi" w:cstheme="minorHAnsi"/>
          <w:lang w:val="en-US"/>
        </w:rPr>
        <w:t>Nixon's decision to abandon the dollar's gold backing must be understood in the broader context of the 1970s crisis, examining how it interacted with other factors to shape that tumultuous decade. First, it is crucial to compare the economic situation before and after Nixon's decision. As Eichengreen points out in "Globalizing Capital"</w:t>
      </w:r>
      <w:r w:rsidRPr="00C64D42">
        <w:rPr>
          <w:rStyle w:val="Appelnotedebasdep"/>
          <w:rFonts w:asciiTheme="minorHAnsi" w:hAnsiTheme="minorHAnsi" w:cstheme="minorHAnsi"/>
          <w:lang w:val="en-US"/>
        </w:rPr>
        <w:footnoteReference w:id="21"/>
      </w:r>
      <w:r w:rsidRPr="00C64D42">
        <w:rPr>
          <w:rFonts w:asciiTheme="minorHAnsi" w:hAnsiTheme="minorHAnsi" w:cstheme="minorHAnsi"/>
          <w:lang w:val="en-US"/>
        </w:rPr>
        <w:t>, the Bretton Woods system had already shown signs of weakness in the 1960s. However, the end of this system accelerated inflationary trends and monetary instability. Schulman, in "The Seventies"</w:t>
      </w:r>
      <w:r w:rsidRPr="00C64D42">
        <w:rPr>
          <w:rStyle w:val="Appelnotedebasdep"/>
          <w:rFonts w:asciiTheme="minorHAnsi" w:hAnsiTheme="minorHAnsi" w:cstheme="minorHAnsi"/>
          <w:lang w:val="en-US"/>
        </w:rPr>
        <w:footnoteReference w:id="22"/>
      </w:r>
      <w:r w:rsidRPr="00C64D42">
        <w:rPr>
          <w:rFonts w:asciiTheme="minorHAnsi" w:hAnsiTheme="minorHAnsi" w:cstheme="minorHAnsi"/>
          <w:lang w:val="en-US"/>
        </w:rPr>
        <w:t>, notes that stagflation - a combination of high inflation and low growth - has become emblematic of the post-1971 economy. Nixon's decision also interfered complexly with other factors in the crisis. For example, Stein in “The Critical Decade”</w:t>
      </w:r>
      <w:r w:rsidRPr="00C64D42">
        <w:rPr>
          <w:rStyle w:val="Appelnotedebasdep"/>
          <w:rFonts w:asciiTheme="minorHAnsi" w:hAnsiTheme="minorHAnsi" w:cstheme="minorHAnsi"/>
          <w:lang w:val="en-US"/>
        </w:rPr>
        <w:footnoteReference w:id="23"/>
      </w:r>
      <w:r w:rsidRPr="00C64D42">
        <w:rPr>
          <w:rFonts w:asciiTheme="minorHAnsi" w:hAnsiTheme="minorHAnsi" w:cstheme="minorHAnsi"/>
          <w:lang w:val="en-US"/>
        </w:rPr>
        <w:t xml:space="preserve"> explains how the new monetary flexibility amplified the impact of the 1973 oil crisis. The devaluation of the dollar encouraged </w:t>
      </w:r>
      <w:r w:rsidR="006A0FEB" w:rsidRPr="00C64D42">
        <w:rPr>
          <w:rFonts w:asciiTheme="minorHAnsi" w:hAnsiTheme="minorHAnsi" w:cstheme="minorHAnsi"/>
          <w:lang w:val="en-US"/>
        </w:rPr>
        <w:t>oil producing</w:t>
      </w:r>
      <w:r w:rsidRPr="00C64D42">
        <w:rPr>
          <w:rFonts w:asciiTheme="minorHAnsi" w:hAnsiTheme="minorHAnsi" w:cstheme="minorHAnsi"/>
          <w:lang w:val="en-US"/>
        </w:rPr>
        <w:t xml:space="preserve"> countries to increase prices, making the economic shock grow. The perception of this decision by different historical actors is also indicative. Indeed, Nixon’s speech </w:t>
      </w:r>
      <w:r w:rsidR="006A0FEB" w:rsidRPr="00C64D42">
        <w:rPr>
          <w:rFonts w:asciiTheme="minorHAnsi" w:hAnsiTheme="minorHAnsi" w:cstheme="minorHAnsi"/>
          <w:lang w:val="en-US"/>
        </w:rPr>
        <w:t>on</w:t>
      </w:r>
      <w:r w:rsidRPr="00C64D42">
        <w:rPr>
          <w:rFonts w:asciiTheme="minorHAnsi" w:hAnsiTheme="minorHAnsi" w:cstheme="minorHAnsi"/>
          <w:lang w:val="en-US"/>
        </w:rPr>
        <w:t xml:space="preserve"> August 15, 1971</w:t>
      </w:r>
      <w:r w:rsidR="006A0FEB" w:rsidRPr="00C64D42">
        <w:rPr>
          <w:rFonts w:asciiTheme="minorHAnsi" w:hAnsiTheme="minorHAnsi" w:cstheme="minorHAnsi"/>
          <w:lang w:val="en-US"/>
        </w:rPr>
        <w:t>,</w:t>
      </w:r>
      <w:r w:rsidRPr="00C64D42">
        <w:rPr>
          <w:rFonts w:asciiTheme="minorHAnsi" w:hAnsiTheme="minorHAnsi" w:cstheme="minorHAnsi"/>
          <w:lang w:val="en-US"/>
        </w:rPr>
        <w:t xml:space="preserve"> presents the measure as mandatory to protect the American </w:t>
      </w:r>
      <w:r w:rsidRPr="00C64D42">
        <w:rPr>
          <w:rFonts w:asciiTheme="minorHAnsi" w:hAnsiTheme="minorHAnsi" w:cstheme="minorHAnsi"/>
          <w:lang w:val="en-US"/>
        </w:rPr>
        <w:lastRenderedPageBreak/>
        <w:t>economy, reflecting a nationalist perspective. On the other hand, Pompidou’s reaction during his press conference of the September 23, 1971</w:t>
      </w:r>
      <w:r w:rsidR="006A0FEB" w:rsidRPr="00C64D42">
        <w:rPr>
          <w:rFonts w:asciiTheme="minorHAnsi" w:hAnsiTheme="minorHAnsi" w:cstheme="minorHAnsi"/>
          <w:lang w:val="en-US"/>
        </w:rPr>
        <w:t>,</w:t>
      </w:r>
      <w:r w:rsidRPr="00C64D42">
        <w:rPr>
          <w:rFonts w:asciiTheme="minorHAnsi" w:hAnsiTheme="minorHAnsi" w:cstheme="minorHAnsi"/>
          <w:lang w:val="en-US"/>
        </w:rPr>
        <w:t xml:space="preserve"> illustrates European concerns for the stability of the international monetary system. Economists, at that time, were divided. Galbraith, in “Age of uncertainty”</w:t>
      </w:r>
      <w:r w:rsidRPr="00C64D42">
        <w:rPr>
          <w:rStyle w:val="Appelnotedebasdep"/>
          <w:rFonts w:asciiTheme="minorHAnsi" w:hAnsiTheme="minorHAnsi" w:cstheme="minorHAnsi"/>
          <w:lang w:val="en-US"/>
        </w:rPr>
        <w:footnoteReference w:id="24"/>
      </w:r>
      <w:r w:rsidRPr="00C64D42">
        <w:rPr>
          <w:rFonts w:asciiTheme="minorHAnsi" w:hAnsiTheme="minorHAnsi" w:cstheme="minorHAnsi"/>
          <w:lang w:val="en-US"/>
        </w:rPr>
        <w:t xml:space="preserve">, saw that decision as the beginning of an increased stability era. Others, like Milton Friedman, saw an opportunity for a more flexible monetary policy. On the long term, this decision contributed to the redefinition of the role of the United States in the international economy. Steil, in “The Battle of Bretton Woods” argues that the end of the Bretton Woods system marked the beginning of the decline for US post-war economy. In sum, Nixon’s decision, although crucial, was only one factor among others in the 70’s crisis. Its impact was amplified by his interaction with other economic, politic and social trend at that time. This larger historical perspective allows us to understand how an event can catalyze profound and lasting transformations in the global economy.  </w:t>
      </w:r>
    </w:p>
    <w:p w14:paraId="179AA866" w14:textId="77777777" w:rsidR="00F66BE4" w:rsidRPr="00C64D42" w:rsidRDefault="00F66BE4" w:rsidP="00F66BE4">
      <w:pPr>
        <w:spacing w:line="480" w:lineRule="auto"/>
        <w:ind w:firstLine="708"/>
        <w:rPr>
          <w:rFonts w:asciiTheme="minorHAnsi" w:hAnsiTheme="minorHAnsi" w:cstheme="minorHAnsi"/>
          <w:lang w:val="en-US"/>
        </w:rPr>
      </w:pPr>
      <w:r w:rsidRPr="00C64D42">
        <w:rPr>
          <w:rFonts w:asciiTheme="minorHAnsi" w:hAnsiTheme="minorHAnsi" w:cstheme="minorHAnsi"/>
          <w:lang w:val="en-US"/>
        </w:rPr>
        <w:t>To sum, Nixon’s decision was an important catalyst of the crisis of the 70’s, contributing by that way to inflation, monetary instability, diplomatically tensions and world economic structural transformation. As Fergusson sum it in “The Shock of the Global”, this event is considered as the beginning of a new era of freer world financial flux but also more volatiles, defining thus the economic landscape of the 70’s.</w:t>
      </w:r>
    </w:p>
    <w:p w14:paraId="1A033473" w14:textId="77777777" w:rsidR="0020296E" w:rsidRDefault="0020296E">
      <w:pPr>
        <w:rPr>
          <w:rFonts w:asciiTheme="majorHAnsi" w:eastAsiaTheme="majorEastAsia" w:hAnsiTheme="majorHAnsi" w:cstheme="majorBidi"/>
          <w:color w:val="2F5496" w:themeColor="accent1" w:themeShade="BF"/>
          <w:sz w:val="32"/>
          <w:szCs w:val="32"/>
          <w:u w:val="single"/>
          <w:lang w:val="en-US" w:eastAsia="en-US"/>
        </w:rPr>
      </w:pPr>
      <w:r>
        <w:rPr>
          <w:u w:val="single"/>
          <w:lang w:val="en-US"/>
        </w:rPr>
        <w:br w:type="page"/>
      </w:r>
    </w:p>
    <w:p w14:paraId="557A6866" w14:textId="1AFA93C2" w:rsidR="00E96F95" w:rsidRDefault="00E96F95" w:rsidP="00E96F95">
      <w:pPr>
        <w:pStyle w:val="Titre1"/>
        <w:jc w:val="center"/>
        <w:rPr>
          <w:lang w:val="en-US"/>
        </w:rPr>
      </w:pPr>
      <w:bookmarkStart w:id="2" w:name="_Toc177227825"/>
      <w:r w:rsidRPr="00E96F95">
        <w:rPr>
          <w:u w:val="single"/>
          <w:lang w:val="en-US"/>
        </w:rPr>
        <w:lastRenderedPageBreak/>
        <w:t xml:space="preserve">Section </w:t>
      </w:r>
      <w:r w:rsidR="00461E5C">
        <w:rPr>
          <w:u w:val="single"/>
          <w:lang w:val="en-US"/>
        </w:rPr>
        <w:t>C</w:t>
      </w:r>
      <w:r w:rsidRPr="00E96F95">
        <w:rPr>
          <w:lang w:val="en-US"/>
        </w:rPr>
        <w:t xml:space="preserve"> – </w:t>
      </w:r>
      <w:r>
        <w:rPr>
          <w:lang w:val="en-US"/>
        </w:rPr>
        <w:t>Reflection</w:t>
      </w:r>
      <w:bookmarkEnd w:id="2"/>
    </w:p>
    <w:p w14:paraId="5403EA4B" w14:textId="77777777" w:rsidR="00EA04F1" w:rsidRDefault="00EA04F1" w:rsidP="00EA04F1">
      <w:pPr>
        <w:rPr>
          <w:lang w:val="en-US"/>
        </w:rPr>
      </w:pPr>
    </w:p>
    <w:p w14:paraId="354025E6" w14:textId="77777777" w:rsidR="00EA04F1" w:rsidRDefault="00EA04F1" w:rsidP="00EA04F1">
      <w:pPr>
        <w:rPr>
          <w:lang w:val="en-US"/>
        </w:rPr>
      </w:pPr>
    </w:p>
    <w:p w14:paraId="78FABC8C" w14:textId="77777777" w:rsidR="00EA04F1" w:rsidRDefault="00EA04F1" w:rsidP="00EA04F1">
      <w:pPr>
        <w:rPr>
          <w:lang w:val="en-US"/>
        </w:rPr>
      </w:pPr>
    </w:p>
    <w:p w14:paraId="405C65C8" w14:textId="5E3D63DA" w:rsidR="00D864EF" w:rsidRPr="00C64D42" w:rsidRDefault="0020296E" w:rsidP="0083515C">
      <w:pPr>
        <w:pStyle w:val="NormalWeb"/>
        <w:spacing w:before="0" w:beforeAutospacing="0" w:after="0" w:afterAutospacing="0" w:line="480" w:lineRule="auto"/>
        <w:ind w:firstLine="708"/>
        <w:jc w:val="both"/>
        <w:rPr>
          <w:rFonts w:asciiTheme="minorHAnsi" w:hAnsiTheme="minorHAnsi" w:cstheme="minorHAnsi"/>
          <w:lang w:val="en-US"/>
        </w:rPr>
      </w:pPr>
      <w:r w:rsidRPr="00C64D42">
        <w:rPr>
          <w:rFonts w:asciiTheme="minorHAnsi" w:hAnsiTheme="minorHAnsi" w:cstheme="minorHAnsi"/>
          <w:lang w:val="en-US"/>
        </w:rPr>
        <w:t>For the historian, the choice of sources is crucial</w:t>
      </w:r>
      <w:r w:rsidR="00D864EF" w:rsidRPr="00C64D42">
        <w:rPr>
          <w:rFonts w:asciiTheme="minorHAnsi" w:hAnsiTheme="minorHAnsi" w:cstheme="minorHAnsi"/>
          <w:lang w:val="en-US"/>
        </w:rPr>
        <w:t xml:space="preserve"> and central in his work</w:t>
      </w:r>
      <w:r w:rsidRPr="00C64D42">
        <w:rPr>
          <w:rFonts w:asciiTheme="minorHAnsi" w:hAnsiTheme="minorHAnsi" w:cstheme="minorHAnsi"/>
          <w:lang w:val="en-US"/>
        </w:rPr>
        <w:t>, because it determines the quality and relevance of his analysis</w:t>
      </w:r>
      <w:r w:rsidR="00D864EF" w:rsidRPr="00C64D42">
        <w:rPr>
          <w:rFonts w:asciiTheme="minorHAnsi" w:hAnsiTheme="minorHAnsi" w:cstheme="minorHAnsi"/>
          <w:lang w:val="en-US"/>
        </w:rPr>
        <w:t xml:space="preserve"> and so, of his work</w:t>
      </w:r>
      <w:r w:rsidRPr="00C64D42">
        <w:rPr>
          <w:rFonts w:asciiTheme="minorHAnsi" w:hAnsiTheme="minorHAnsi" w:cstheme="minorHAnsi"/>
          <w:lang w:val="en-US"/>
        </w:rPr>
        <w:t xml:space="preserve">. When selecting sources, the historian must first assess their credibility. Primary documents, such as letters or reports, are direct testimonies, but they are not free from bias, because those who wrote them may have influenced the facts according to their interests. </w:t>
      </w:r>
      <w:r w:rsidR="00D864EF" w:rsidRPr="00C64D42">
        <w:rPr>
          <w:rFonts w:asciiTheme="minorHAnsi" w:hAnsiTheme="minorHAnsi" w:cstheme="minorHAnsi"/>
          <w:lang w:val="en-US"/>
        </w:rPr>
        <w:t>Other kind of primary sources are books, but they can be affiliated to different political opinions, or any kind of opinions, so it’s important for an historian to cross his sources to have a larger point of view on specifical event, with sources such as newspaper, or different testimonies</w:t>
      </w:r>
      <w:r w:rsidR="006A0FEB" w:rsidRPr="00C64D42">
        <w:rPr>
          <w:rFonts w:asciiTheme="minorHAnsi" w:hAnsiTheme="minorHAnsi" w:cstheme="minorHAnsi"/>
          <w:lang w:val="en-US"/>
        </w:rPr>
        <w:t xml:space="preserve"> like on this subject where I had to pick sources from different point of view</w:t>
      </w:r>
      <w:r w:rsidR="00297447" w:rsidRPr="00C64D42">
        <w:rPr>
          <w:rFonts w:asciiTheme="minorHAnsi" w:hAnsiTheme="minorHAnsi" w:cstheme="minorHAnsi"/>
          <w:lang w:val="en-US"/>
        </w:rPr>
        <w:t>; Nixon’s and Pompidou’s speech are good examples because they are both opposed one to each other</w:t>
      </w:r>
      <w:r w:rsidR="00D864EF" w:rsidRPr="00C64D42">
        <w:rPr>
          <w:rFonts w:asciiTheme="minorHAnsi" w:hAnsiTheme="minorHAnsi" w:cstheme="minorHAnsi"/>
          <w:lang w:val="en-US"/>
        </w:rPr>
        <w:t>.</w:t>
      </w:r>
    </w:p>
    <w:p w14:paraId="712417B7" w14:textId="77777777" w:rsidR="00D864EF" w:rsidRPr="00C64D42" w:rsidRDefault="00D864EF" w:rsidP="00C97B1A">
      <w:pPr>
        <w:pStyle w:val="NormalWeb"/>
        <w:spacing w:before="0" w:beforeAutospacing="0" w:after="0" w:afterAutospacing="0" w:line="480" w:lineRule="auto"/>
        <w:jc w:val="both"/>
        <w:rPr>
          <w:rFonts w:asciiTheme="minorHAnsi" w:hAnsiTheme="minorHAnsi" w:cstheme="minorHAnsi"/>
          <w:lang w:val="en-US"/>
        </w:rPr>
      </w:pPr>
    </w:p>
    <w:p w14:paraId="69DB43E4" w14:textId="29964199" w:rsidR="00297447" w:rsidRPr="00C64D42" w:rsidRDefault="0020296E" w:rsidP="0083515C">
      <w:pPr>
        <w:pStyle w:val="NormalWeb"/>
        <w:spacing w:before="0" w:beforeAutospacing="0" w:after="0" w:afterAutospacing="0" w:line="480" w:lineRule="auto"/>
        <w:ind w:firstLine="708"/>
        <w:jc w:val="both"/>
        <w:rPr>
          <w:rFonts w:asciiTheme="minorHAnsi" w:hAnsiTheme="minorHAnsi" w:cstheme="minorHAnsi"/>
          <w:lang w:val="en-US"/>
        </w:rPr>
      </w:pPr>
      <w:r w:rsidRPr="00C64D42">
        <w:rPr>
          <w:rFonts w:asciiTheme="minorHAnsi" w:hAnsiTheme="minorHAnsi" w:cstheme="minorHAnsi"/>
          <w:lang w:val="en-US"/>
        </w:rPr>
        <w:t>Secondary sources, on the other hand, offer interpretations already made, but are also influenced by the context and ideas of their author.</w:t>
      </w:r>
      <w:r w:rsidR="00D864EF" w:rsidRPr="00C64D42">
        <w:rPr>
          <w:rFonts w:asciiTheme="minorHAnsi" w:hAnsiTheme="minorHAnsi" w:cstheme="minorHAnsi"/>
          <w:lang w:val="en-US"/>
        </w:rPr>
        <w:t xml:space="preserve"> But finally, they belong to </w:t>
      </w:r>
      <w:r w:rsidR="00297447" w:rsidRPr="00C64D42">
        <w:rPr>
          <w:rFonts w:asciiTheme="minorHAnsi" w:hAnsiTheme="minorHAnsi" w:cstheme="minorHAnsi"/>
          <w:lang w:val="en-US"/>
        </w:rPr>
        <w:t>a period</w:t>
      </w:r>
      <w:r w:rsidR="00D864EF" w:rsidRPr="00C64D42">
        <w:rPr>
          <w:rFonts w:asciiTheme="minorHAnsi" w:hAnsiTheme="minorHAnsi" w:cstheme="minorHAnsi"/>
          <w:lang w:val="en-US"/>
        </w:rPr>
        <w:t xml:space="preserve"> situated like </w:t>
      </w:r>
      <w:r w:rsidR="00297447" w:rsidRPr="00C64D42">
        <w:rPr>
          <w:rFonts w:asciiTheme="minorHAnsi" w:hAnsiTheme="minorHAnsi" w:cstheme="minorHAnsi"/>
          <w:lang w:val="en-US"/>
        </w:rPr>
        <w:t>ten</w:t>
      </w:r>
      <w:r w:rsidR="00D864EF" w:rsidRPr="00C64D42">
        <w:rPr>
          <w:rFonts w:asciiTheme="minorHAnsi" w:hAnsiTheme="minorHAnsi" w:cstheme="minorHAnsi"/>
          <w:lang w:val="en-US"/>
        </w:rPr>
        <w:t xml:space="preserve"> year</w:t>
      </w:r>
      <w:r w:rsidR="006A0FEB" w:rsidRPr="00C64D42">
        <w:rPr>
          <w:rFonts w:asciiTheme="minorHAnsi" w:hAnsiTheme="minorHAnsi" w:cstheme="minorHAnsi"/>
          <w:lang w:val="en-US"/>
        </w:rPr>
        <w:t>s</w:t>
      </w:r>
      <w:r w:rsidR="00D864EF" w:rsidRPr="00C64D42">
        <w:rPr>
          <w:rFonts w:asciiTheme="minorHAnsi" w:hAnsiTheme="minorHAnsi" w:cstheme="minorHAnsi"/>
          <w:lang w:val="en-US"/>
        </w:rPr>
        <w:t xml:space="preserve"> after the event in question, so they have a larger point of view, more than a primary source which represent</w:t>
      </w:r>
      <w:r w:rsidR="006A0FEB" w:rsidRPr="00C64D42">
        <w:rPr>
          <w:rFonts w:asciiTheme="minorHAnsi" w:hAnsiTheme="minorHAnsi" w:cstheme="minorHAnsi"/>
          <w:lang w:val="en-US"/>
        </w:rPr>
        <w:t>s</w:t>
      </w:r>
      <w:r w:rsidR="00D864EF" w:rsidRPr="00C64D42">
        <w:rPr>
          <w:rFonts w:asciiTheme="minorHAnsi" w:hAnsiTheme="minorHAnsi" w:cstheme="minorHAnsi"/>
          <w:lang w:val="en-US"/>
        </w:rPr>
        <w:t xml:space="preserve"> the event when it reaches his “boiling </w:t>
      </w:r>
      <w:r w:rsidR="006A0FEB" w:rsidRPr="00C64D42">
        <w:rPr>
          <w:rFonts w:asciiTheme="minorHAnsi" w:hAnsiTheme="minorHAnsi" w:cstheme="minorHAnsi"/>
          <w:lang w:val="en-US"/>
        </w:rPr>
        <w:t>point</w:t>
      </w:r>
      <w:r w:rsidR="00D864EF" w:rsidRPr="00C64D42">
        <w:rPr>
          <w:rFonts w:asciiTheme="minorHAnsi" w:hAnsiTheme="minorHAnsi" w:cstheme="minorHAnsi"/>
          <w:lang w:val="en-US"/>
        </w:rPr>
        <w:t>”</w:t>
      </w:r>
      <w:r w:rsidR="006A0FEB" w:rsidRPr="00C64D42">
        <w:rPr>
          <w:rFonts w:asciiTheme="minorHAnsi" w:hAnsiTheme="minorHAnsi" w:cstheme="minorHAnsi"/>
          <w:lang w:val="en-US"/>
        </w:rPr>
        <w:t>.</w:t>
      </w:r>
    </w:p>
    <w:p w14:paraId="15535644" w14:textId="77777777" w:rsidR="00297447" w:rsidRPr="00C64D42" w:rsidRDefault="00297447" w:rsidP="00C97B1A">
      <w:pPr>
        <w:pStyle w:val="NormalWeb"/>
        <w:spacing w:before="0" w:beforeAutospacing="0" w:after="0" w:afterAutospacing="0" w:line="480" w:lineRule="auto"/>
        <w:jc w:val="both"/>
        <w:rPr>
          <w:rFonts w:asciiTheme="minorHAnsi" w:hAnsiTheme="minorHAnsi" w:cstheme="minorHAnsi"/>
          <w:lang w:val="en-US"/>
        </w:rPr>
      </w:pPr>
    </w:p>
    <w:p w14:paraId="58746DBC" w14:textId="60996A5A" w:rsidR="00297447" w:rsidRPr="00C64D42" w:rsidRDefault="00297447" w:rsidP="0083515C">
      <w:pPr>
        <w:pStyle w:val="NormalWeb"/>
        <w:spacing w:before="0" w:beforeAutospacing="0" w:after="0" w:afterAutospacing="0" w:line="480" w:lineRule="auto"/>
        <w:ind w:firstLine="708"/>
        <w:jc w:val="both"/>
        <w:rPr>
          <w:rFonts w:asciiTheme="minorHAnsi" w:hAnsiTheme="minorHAnsi" w:cstheme="minorHAnsi"/>
          <w:lang w:val="en-US"/>
        </w:rPr>
      </w:pPr>
      <w:r w:rsidRPr="00C64D42">
        <w:rPr>
          <w:rFonts w:asciiTheme="minorHAnsi" w:hAnsiTheme="minorHAnsi" w:cstheme="minorHAnsi"/>
          <w:lang w:val="en-US"/>
        </w:rPr>
        <w:t xml:space="preserve">In this case particularly, the result of the </w:t>
      </w:r>
      <w:r w:rsidR="0083515C" w:rsidRPr="00C64D42">
        <w:rPr>
          <w:rFonts w:asciiTheme="minorHAnsi" w:hAnsiTheme="minorHAnsi" w:cstheme="minorHAnsi"/>
          <w:lang w:val="en-US"/>
        </w:rPr>
        <w:t>researches</w:t>
      </w:r>
      <w:r w:rsidRPr="00C64D42">
        <w:rPr>
          <w:rFonts w:asciiTheme="minorHAnsi" w:hAnsiTheme="minorHAnsi" w:cstheme="minorHAnsi"/>
          <w:lang w:val="en-US"/>
        </w:rPr>
        <w:t xml:space="preserve"> could be different in function of the sources which were picked up: the response of Canada to the US wouldn’t be the same as </w:t>
      </w:r>
      <w:r w:rsidR="0083515C" w:rsidRPr="00C64D42">
        <w:rPr>
          <w:rFonts w:asciiTheme="minorHAnsi" w:hAnsiTheme="minorHAnsi" w:cstheme="minorHAnsi"/>
          <w:lang w:val="en-US"/>
        </w:rPr>
        <w:t>Japanese</w:t>
      </w:r>
      <w:r w:rsidRPr="00C64D42">
        <w:rPr>
          <w:rFonts w:asciiTheme="minorHAnsi" w:hAnsiTheme="minorHAnsi" w:cstheme="minorHAnsi"/>
          <w:lang w:val="en-US"/>
        </w:rPr>
        <w:t xml:space="preserve"> or French</w:t>
      </w:r>
      <w:r w:rsidR="0083515C" w:rsidRPr="00C64D42">
        <w:rPr>
          <w:rFonts w:asciiTheme="minorHAnsi" w:hAnsiTheme="minorHAnsi" w:cstheme="minorHAnsi"/>
          <w:lang w:val="en-US"/>
        </w:rPr>
        <w:t xml:space="preserve"> responses</w:t>
      </w:r>
      <w:r w:rsidRPr="00C64D42">
        <w:rPr>
          <w:rFonts w:asciiTheme="minorHAnsi" w:hAnsiTheme="minorHAnsi" w:cstheme="minorHAnsi"/>
          <w:lang w:val="en-US"/>
        </w:rPr>
        <w:t>, because they all have different point of view on the event.</w:t>
      </w:r>
    </w:p>
    <w:p w14:paraId="04C941B6" w14:textId="77777777" w:rsidR="00297447" w:rsidRPr="00C64D42" w:rsidRDefault="00297447" w:rsidP="00C97B1A">
      <w:pPr>
        <w:pStyle w:val="NormalWeb"/>
        <w:spacing w:before="0" w:beforeAutospacing="0" w:after="0" w:afterAutospacing="0" w:line="480" w:lineRule="auto"/>
        <w:jc w:val="both"/>
        <w:rPr>
          <w:rFonts w:asciiTheme="minorHAnsi" w:hAnsiTheme="minorHAnsi" w:cstheme="minorHAnsi"/>
          <w:lang w:val="en-US"/>
        </w:rPr>
      </w:pPr>
    </w:p>
    <w:p w14:paraId="3E8BCC49" w14:textId="075169D7" w:rsidR="00297447" w:rsidRPr="00C64D42" w:rsidRDefault="00297447" w:rsidP="0083515C">
      <w:pPr>
        <w:pStyle w:val="NormalWeb"/>
        <w:spacing w:before="0" w:beforeAutospacing="0" w:after="0" w:afterAutospacing="0" w:line="480" w:lineRule="auto"/>
        <w:ind w:firstLine="708"/>
        <w:jc w:val="both"/>
        <w:rPr>
          <w:rFonts w:asciiTheme="minorHAnsi" w:hAnsiTheme="minorHAnsi" w:cstheme="minorHAnsi"/>
          <w:lang w:val="en-US"/>
        </w:rPr>
      </w:pPr>
      <w:r w:rsidRPr="00C64D42">
        <w:rPr>
          <w:rFonts w:asciiTheme="minorHAnsi" w:hAnsiTheme="minorHAnsi" w:cstheme="minorHAnsi"/>
          <w:lang w:val="en-US"/>
        </w:rPr>
        <w:t>Also, for this specific event more than another, it is difficult to have every piece of the puzzle that represent this event, because ther</w:t>
      </w:r>
      <w:r w:rsidR="0083515C" w:rsidRPr="00C64D42">
        <w:rPr>
          <w:rFonts w:asciiTheme="minorHAnsi" w:hAnsiTheme="minorHAnsi" w:cstheme="minorHAnsi"/>
          <w:lang w:val="en-US"/>
        </w:rPr>
        <w:t>e</w:t>
      </w:r>
      <w:r w:rsidRPr="00C64D42">
        <w:rPr>
          <w:rFonts w:asciiTheme="minorHAnsi" w:hAnsiTheme="minorHAnsi" w:cstheme="minorHAnsi"/>
          <w:lang w:val="en-US"/>
        </w:rPr>
        <w:t xml:space="preserve"> might be some geopolitical reasons to the </w:t>
      </w:r>
      <w:r w:rsidRPr="00C64D42">
        <w:rPr>
          <w:rFonts w:asciiTheme="minorHAnsi" w:hAnsiTheme="minorHAnsi" w:cstheme="minorHAnsi"/>
          <w:lang w:val="en-US"/>
        </w:rPr>
        <w:lastRenderedPageBreak/>
        <w:t xml:space="preserve">abandonment of gold standards exchange that aren’t specified in documents which are available on this subject. The theme of neutrality must be respected because </w:t>
      </w:r>
      <w:r w:rsidR="0083515C" w:rsidRPr="00C64D42">
        <w:rPr>
          <w:rFonts w:asciiTheme="minorHAnsi" w:hAnsiTheme="minorHAnsi" w:cstheme="minorHAnsi"/>
          <w:lang w:val="en-US"/>
        </w:rPr>
        <w:t>sources which are pick up are sometimes politically oriented.</w:t>
      </w:r>
    </w:p>
    <w:p w14:paraId="498578EA" w14:textId="77777777" w:rsidR="0083515C" w:rsidRPr="00C64D42" w:rsidRDefault="0083515C" w:rsidP="00C97B1A">
      <w:pPr>
        <w:pStyle w:val="NormalWeb"/>
        <w:spacing w:before="0" w:beforeAutospacing="0" w:after="0" w:afterAutospacing="0" w:line="480" w:lineRule="auto"/>
        <w:jc w:val="both"/>
        <w:rPr>
          <w:rFonts w:asciiTheme="minorHAnsi" w:hAnsiTheme="minorHAnsi" w:cstheme="minorHAnsi"/>
          <w:lang w:val="en-US"/>
        </w:rPr>
      </w:pPr>
    </w:p>
    <w:p w14:paraId="7E02A95A" w14:textId="77777777" w:rsidR="0083515C" w:rsidRPr="00C64D42" w:rsidRDefault="0083515C" w:rsidP="0083515C">
      <w:pPr>
        <w:pStyle w:val="NormalWeb"/>
        <w:spacing w:before="0" w:beforeAutospacing="0" w:after="0" w:afterAutospacing="0" w:line="480" w:lineRule="auto"/>
        <w:ind w:firstLine="708"/>
        <w:jc w:val="both"/>
        <w:rPr>
          <w:rFonts w:asciiTheme="minorHAnsi" w:hAnsiTheme="minorHAnsi" w:cstheme="minorHAnsi"/>
          <w:lang w:val="en-US"/>
        </w:rPr>
      </w:pPr>
      <w:r w:rsidRPr="00C64D42">
        <w:rPr>
          <w:rFonts w:asciiTheme="minorHAnsi" w:hAnsiTheme="minorHAnsi" w:cstheme="minorHAnsi"/>
          <w:lang w:val="en-US"/>
        </w:rPr>
        <w:t>Finally, sources must be examined in their context. Each era produces different interpretations of the past according to its own concerns. The historian must be aware of contemporary influences while working to reduce his own prejudices.</w:t>
      </w:r>
    </w:p>
    <w:p w14:paraId="63CB510B" w14:textId="77777777" w:rsidR="0020296E" w:rsidRPr="0020296E" w:rsidRDefault="0020296E" w:rsidP="0020296E">
      <w:pPr>
        <w:rPr>
          <w:lang w:val="en-US"/>
        </w:rPr>
      </w:pPr>
    </w:p>
    <w:p w14:paraId="4040AD8A" w14:textId="626C7467" w:rsidR="0010688D" w:rsidRPr="006405ED" w:rsidRDefault="0010688D" w:rsidP="00431557">
      <w:pPr>
        <w:spacing w:after="160" w:line="480" w:lineRule="auto"/>
        <w:rPr>
          <w:rFonts w:eastAsiaTheme="minorEastAsia"/>
          <w:kern w:val="2"/>
          <w:lang w:val="en-US"/>
          <w14:ligatures w14:val="standardContextual"/>
        </w:rPr>
      </w:pPr>
    </w:p>
    <w:p w14:paraId="46203873" w14:textId="77777777" w:rsidR="00EA04F1" w:rsidRDefault="00EA04F1" w:rsidP="00431557">
      <w:pPr>
        <w:spacing w:line="480" w:lineRule="auto"/>
        <w:rPr>
          <w:lang w:val="en-US"/>
        </w:rPr>
      </w:pPr>
    </w:p>
    <w:p w14:paraId="5D227BB4" w14:textId="77777777" w:rsidR="00EA04F1" w:rsidRDefault="00EA04F1" w:rsidP="00431557">
      <w:pPr>
        <w:spacing w:line="480" w:lineRule="auto"/>
        <w:rPr>
          <w:lang w:val="en-US"/>
        </w:rPr>
      </w:pPr>
    </w:p>
    <w:p w14:paraId="0EF07FC3" w14:textId="77777777" w:rsidR="00EA04F1" w:rsidRDefault="00EA04F1" w:rsidP="00431557">
      <w:pPr>
        <w:spacing w:line="480" w:lineRule="auto"/>
        <w:rPr>
          <w:lang w:val="en-US"/>
        </w:rPr>
      </w:pPr>
    </w:p>
    <w:p w14:paraId="3B620760" w14:textId="77777777" w:rsidR="00EA04F1" w:rsidRDefault="00EA04F1">
      <w:pPr>
        <w:rPr>
          <w:lang w:val="en-US"/>
        </w:rPr>
      </w:pPr>
      <w:r>
        <w:rPr>
          <w:lang w:val="en-US"/>
        </w:rPr>
        <w:br w:type="page"/>
      </w:r>
    </w:p>
    <w:p w14:paraId="3AC1B5CF" w14:textId="77777777" w:rsidR="00EA04F1" w:rsidRPr="00C97B1A" w:rsidRDefault="00EA04F1" w:rsidP="00EA04F1">
      <w:pPr>
        <w:pStyle w:val="Titre1"/>
        <w:jc w:val="center"/>
        <w:rPr>
          <w:lang w:val="fr-FR"/>
        </w:rPr>
      </w:pPr>
      <w:bookmarkStart w:id="3" w:name="_Toc177227826"/>
      <w:r w:rsidRPr="00C97B1A">
        <w:rPr>
          <w:u w:val="single"/>
          <w:lang w:val="fr-FR"/>
        </w:rPr>
        <w:lastRenderedPageBreak/>
        <w:t>Bibliography</w:t>
      </w:r>
      <w:bookmarkEnd w:id="3"/>
    </w:p>
    <w:p w14:paraId="34688810" w14:textId="77777777" w:rsidR="00EA04F1" w:rsidRPr="00C97B1A" w:rsidRDefault="00EA04F1" w:rsidP="00EA04F1">
      <w:pPr>
        <w:rPr>
          <w:b/>
          <w:bCs/>
        </w:rPr>
      </w:pPr>
    </w:p>
    <w:p w14:paraId="29389AB1" w14:textId="77777777" w:rsidR="00E96F95" w:rsidRPr="00C97B1A" w:rsidRDefault="00E96F95" w:rsidP="00E96F95"/>
    <w:p w14:paraId="6A802181" w14:textId="1ED50A68" w:rsidR="00C97B1A" w:rsidRDefault="00C97B1A" w:rsidP="00C97B1A">
      <w:pPr>
        <w:spacing w:after="5" w:line="250" w:lineRule="auto"/>
        <w:ind w:left="-5"/>
      </w:pPr>
      <w:r>
        <w:rPr>
          <w:rFonts w:ascii="Calibri" w:eastAsia="Calibri" w:hAnsi="Calibri" w:cs="Calibri"/>
          <w:b/>
        </w:rPr>
        <w:t>Braudel Fernand</w:t>
      </w:r>
      <w:r>
        <w:rPr>
          <w:rFonts w:ascii="Calibri" w:eastAsia="Calibri" w:hAnsi="Calibri" w:cs="Calibri"/>
        </w:rPr>
        <w:t xml:space="preserve"> Écrits sur l'histoire [</w:t>
      </w:r>
      <w:r w:rsidR="003B5ABF">
        <w:rPr>
          <w:rFonts w:ascii="Calibri" w:eastAsia="Calibri" w:hAnsi="Calibri" w:cs="Calibri"/>
        </w:rPr>
        <w:t>Book</w:t>
      </w:r>
      <w:r>
        <w:rPr>
          <w:rFonts w:ascii="Calibri" w:eastAsia="Calibri" w:hAnsi="Calibri" w:cs="Calibri"/>
        </w:rPr>
        <w:t xml:space="preserve">]. - [s.l.] : FLAMMARION, 1969. </w:t>
      </w:r>
    </w:p>
    <w:p w14:paraId="50923538" w14:textId="4070186D" w:rsidR="00C97B1A" w:rsidRPr="00001CC0" w:rsidRDefault="00C97B1A" w:rsidP="00C97B1A">
      <w:pPr>
        <w:spacing w:after="5" w:line="250" w:lineRule="auto"/>
        <w:ind w:left="-5"/>
        <w:rPr>
          <w:lang w:val="en-US"/>
        </w:rPr>
      </w:pPr>
      <w:r w:rsidRPr="00001CC0">
        <w:rPr>
          <w:rFonts w:ascii="Calibri" w:eastAsia="Calibri" w:hAnsi="Calibri" w:cs="Calibri"/>
          <w:b/>
          <w:lang w:val="en-US"/>
        </w:rPr>
        <w:t>Carr E.H.</w:t>
      </w:r>
      <w:r w:rsidRPr="00001CC0">
        <w:rPr>
          <w:rFonts w:ascii="Calibri" w:eastAsia="Calibri" w:hAnsi="Calibri" w:cs="Calibri"/>
          <w:lang w:val="en-US"/>
        </w:rPr>
        <w:t xml:space="preserve"> What is History [</w:t>
      </w:r>
      <w:r w:rsidR="003B5ABF" w:rsidRPr="003B5ABF">
        <w:rPr>
          <w:rFonts w:ascii="Calibri" w:eastAsia="Calibri" w:hAnsi="Calibri" w:cs="Calibri"/>
          <w:lang w:val="en-US"/>
        </w:rPr>
        <w:t>Book</w:t>
      </w:r>
      <w:r w:rsidRPr="00001CC0">
        <w:rPr>
          <w:rFonts w:ascii="Calibri" w:eastAsia="Calibri" w:hAnsi="Calibri" w:cs="Calibri"/>
          <w:lang w:val="en-US"/>
        </w:rPr>
        <w:t xml:space="preserve">]. - [s.l.] : Penguin Book - Second edition, 1961. </w:t>
      </w:r>
    </w:p>
    <w:p w14:paraId="141079A4" w14:textId="77777777" w:rsidR="00C97B1A" w:rsidRPr="00001CC0" w:rsidRDefault="00C97B1A" w:rsidP="00C97B1A">
      <w:pPr>
        <w:spacing w:after="5" w:line="250" w:lineRule="auto"/>
        <w:ind w:left="-5"/>
        <w:rPr>
          <w:lang w:val="en-US"/>
        </w:rPr>
      </w:pPr>
      <w:r w:rsidRPr="00001CC0">
        <w:rPr>
          <w:rFonts w:ascii="Calibri" w:eastAsia="Calibri" w:hAnsi="Calibri" w:cs="Calibri"/>
          <w:b/>
          <w:lang w:val="en-US"/>
        </w:rPr>
        <w:t>Eichengreen Barry.</w:t>
      </w:r>
      <w:r w:rsidRPr="00001CC0">
        <w:rPr>
          <w:rFonts w:ascii="Calibri" w:eastAsia="Calibri" w:hAnsi="Calibri" w:cs="Calibri"/>
          <w:lang w:val="en-US"/>
        </w:rPr>
        <w:t xml:space="preserve"> Globalizing Capital: A History of the International Monetary System. </w:t>
      </w:r>
    </w:p>
    <w:p w14:paraId="57174951" w14:textId="77777777" w:rsidR="00C97B1A" w:rsidRPr="00001CC0" w:rsidRDefault="00C97B1A" w:rsidP="00C97B1A">
      <w:pPr>
        <w:spacing w:after="5" w:line="250" w:lineRule="auto"/>
        <w:ind w:left="-5"/>
        <w:rPr>
          <w:lang w:val="en-US"/>
        </w:rPr>
      </w:pPr>
      <w:r w:rsidRPr="00001CC0">
        <w:rPr>
          <w:rFonts w:ascii="Calibri" w:eastAsia="Calibri" w:hAnsi="Calibri" w:cs="Calibri"/>
          <w:lang w:val="en-US"/>
        </w:rPr>
        <w:t xml:space="preserve">[Book]. - [s.l.] : Princeton University Press, 1996. </w:t>
      </w:r>
    </w:p>
    <w:p w14:paraId="33647FDE" w14:textId="77777777" w:rsidR="00C97B1A" w:rsidRPr="00001CC0" w:rsidRDefault="00C97B1A" w:rsidP="00C97B1A">
      <w:pPr>
        <w:spacing w:after="5" w:line="250" w:lineRule="auto"/>
        <w:ind w:left="-5"/>
        <w:rPr>
          <w:lang w:val="en-US"/>
        </w:rPr>
      </w:pPr>
      <w:r w:rsidRPr="00001CC0">
        <w:rPr>
          <w:rFonts w:ascii="Calibri" w:eastAsia="Calibri" w:hAnsi="Calibri" w:cs="Calibri"/>
          <w:b/>
          <w:lang w:val="en-US"/>
        </w:rPr>
        <w:t>Galbraith John Kenneth.</w:t>
      </w:r>
      <w:r w:rsidRPr="00001CC0">
        <w:rPr>
          <w:rFonts w:ascii="Calibri" w:eastAsia="Calibri" w:hAnsi="Calibri" w:cs="Calibri"/>
          <w:lang w:val="en-US"/>
        </w:rPr>
        <w:t xml:space="preserve"> The Age of Uncertainty. [Book]. - [s.l.] : Houghton Mifflin, 1977. </w:t>
      </w:r>
    </w:p>
    <w:p w14:paraId="318A4084" w14:textId="77777777" w:rsidR="00C97B1A" w:rsidRPr="00001CC0" w:rsidRDefault="00C97B1A" w:rsidP="00C97B1A">
      <w:pPr>
        <w:rPr>
          <w:lang w:val="en-US"/>
        </w:rPr>
      </w:pPr>
      <w:r w:rsidRPr="00001CC0">
        <w:rPr>
          <w:rFonts w:ascii="Calibri" w:eastAsia="Calibri" w:hAnsi="Calibri" w:cs="Calibri"/>
          <w:b/>
          <w:lang w:val="en-US"/>
        </w:rPr>
        <w:t>Niall Ferguson Charles S. Maier, Erez Manela, Daniel J. Sargent, Jeremy Adelman, Thomas Borstelmann, Matthew Connelly, Louis Hyman, Ayesha Jalal, Stephen Kotkin, Mark Atwood Lawrence, Professor J.R. McNeill, Michael Cotey Morgan</w:t>
      </w:r>
      <w:r w:rsidRPr="00001CC0">
        <w:rPr>
          <w:rFonts w:ascii="Calibri" w:eastAsia="Calibri" w:hAnsi="Calibri" w:cs="Calibri"/>
          <w:lang w:val="en-US"/>
        </w:rPr>
        <w:t xml:space="preserve"> The Shock of the Global: </w:t>
      </w:r>
    </w:p>
    <w:p w14:paraId="1FD9CBC4" w14:textId="0C0A9E40" w:rsidR="00C97B1A" w:rsidRPr="00001CC0" w:rsidRDefault="00C97B1A" w:rsidP="00C97B1A">
      <w:pPr>
        <w:spacing w:after="5" w:line="250" w:lineRule="auto"/>
        <w:ind w:left="-5"/>
        <w:rPr>
          <w:lang w:val="en-US"/>
        </w:rPr>
      </w:pPr>
      <w:r w:rsidRPr="00001CC0">
        <w:rPr>
          <w:rFonts w:ascii="Calibri" w:eastAsia="Calibri" w:hAnsi="Calibri" w:cs="Calibri"/>
          <w:lang w:val="en-US"/>
        </w:rPr>
        <w:t>The 1970s in Perspective [</w:t>
      </w:r>
      <w:r w:rsidR="003B5ABF" w:rsidRPr="003B5ABF">
        <w:rPr>
          <w:rFonts w:ascii="Calibri" w:eastAsia="Calibri" w:hAnsi="Calibri" w:cs="Calibri"/>
          <w:lang w:val="en-US"/>
        </w:rPr>
        <w:t>Book</w:t>
      </w:r>
      <w:r w:rsidRPr="00001CC0">
        <w:rPr>
          <w:rFonts w:ascii="Calibri" w:eastAsia="Calibri" w:hAnsi="Calibri" w:cs="Calibri"/>
          <w:lang w:val="en-US"/>
        </w:rPr>
        <w:t xml:space="preserve">]. - [s.l.] : The Belknap Press, 2010. </w:t>
      </w:r>
    </w:p>
    <w:p w14:paraId="016AE072" w14:textId="6EAF7BF0" w:rsidR="00C97B1A" w:rsidRPr="00001CC0" w:rsidRDefault="00C97B1A" w:rsidP="00C97B1A">
      <w:pPr>
        <w:spacing w:after="5" w:line="250" w:lineRule="auto"/>
        <w:ind w:left="-5"/>
        <w:rPr>
          <w:lang w:val="en-US"/>
        </w:rPr>
      </w:pPr>
      <w:r w:rsidRPr="00001CC0">
        <w:rPr>
          <w:rFonts w:ascii="Calibri" w:eastAsia="Calibri" w:hAnsi="Calibri" w:cs="Calibri"/>
          <w:b/>
          <w:lang w:val="en-US"/>
        </w:rPr>
        <w:t>Nichter Douglas Brinkley &amp; Luke</w:t>
      </w:r>
      <w:r w:rsidRPr="00001CC0">
        <w:rPr>
          <w:rFonts w:ascii="Calibri" w:eastAsia="Calibri" w:hAnsi="Calibri" w:cs="Calibri"/>
          <w:lang w:val="en-US"/>
        </w:rPr>
        <w:t xml:space="preserve"> The Nixon Tapes: 1971–1972 [</w:t>
      </w:r>
      <w:r w:rsidR="003B5ABF" w:rsidRPr="003B5ABF">
        <w:rPr>
          <w:rFonts w:ascii="Calibri" w:eastAsia="Calibri" w:hAnsi="Calibri" w:cs="Calibri"/>
          <w:lang w:val="en-US"/>
        </w:rPr>
        <w:t>Book</w:t>
      </w:r>
      <w:r w:rsidRPr="00001CC0">
        <w:rPr>
          <w:rFonts w:ascii="Calibri" w:eastAsia="Calibri" w:hAnsi="Calibri" w:cs="Calibri"/>
          <w:lang w:val="en-US"/>
        </w:rPr>
        <w:t xml:space="preserve">]. - [s.l.] : Mariner Books, 2014. </w:t>
      </w:r>
    </w:p>
    <w:p w14:paraId="7C311867" w14:textId="77777777" w:rsidR="00C97B1A" w:rsidRPr="00001CC0" w:rsidRDefault="00C97B1A" w:rsidP="00C97B1A">
      <w:pPr>
        <w:spacing w:after="5" w:line="250" w:lineRule="auto"/>
        <w:ind w:left="-5"/>
        <w:rPr>
          <w:lang w:val="en-US"/>
        </w:rPr>
      </w:pPr>
      <w:r w:rsidRPr="00001CC0">
        <w:rPr>
          <w:rFonts w:ascii="Calibri" w:eastAsia="Calibri" w:hAnsi="Calibri" w:cs="Calibri"/>
          <w:b/>
          <w:lang w:val="en-US"/>
        </w:rPr>
        <w:t>Nixon R.M.</w:t>
      </w:r>
      <w:r w:rsidRPr="00001CC0">
        <w:rPr>
          <w:rFonts w:ascii="Calibri" w:eastAsia="Calibri" w:hAnsi="Calibri" w:cs="Calibri"/>
          <w:lang w:val="en-US"/>
        </w:rPr>
        <w:t xml:space="preserve"> The Challenge of Peace. [Book]. - </w:t>
      </w:r>
    </w:p>
    <w:p w14:paraId="028220F5" w14:textId="77777777" w:rsidR="00C97B1A" w:rsidRPr="00001CC0" w:rsidRDefault="00C97B1A" w:rsidP="00C97B1A">
      <w:pPr>
        <w:spacing w:after="5" w:line="250" w:lineRule="auto"/>
        <w:ind w:left="-5"/>
        <w:rPr>
          <w:lang w:val="en-US"/>
        </w:rPr>
      </w:pPr>
      <w:r w:rsidRPr="00001CC0">
        <w:rPr>
          <w:rFonts w:ascii="Calibri" w:eastAsia="Calibri" w:hAnsi="Calibri" w:cs="Calibri"/>
          <w:lang w:val="en-US"/>
        </w:rPr>
        <w:t xml:space="preserve">https://www.presidency.ucsb.edu/documents/address-the-nation-outlining-new-economicpolicy-the-challenge-peace : The American Presidency Project , 1971. </w:t>
      </w:r>
    </w:p>
    <w:p w14:paraId="5537077B" w14:textId="77777777" w:rsidR="00C97B1A" w:rsidRDefault="00C97B1A" w:rsidP="00C97B1A">
      <w:pPr>
        <w:spacing w:after="5" w:line="250" w:lineRule="auto"/>
        <w:ind w:left="-5"/>
      </w:pPr>
      <w:r>
        <w:rPr>
          <w:rFonts w:ascii="Calibri" w:eastAsia="Calibri" w:hAnsi="Calibri" w:cs="Calibri"/>
          <w:b/>
        </w:rPr>
        <w:t>Pompidou Georges</w:t>
      </w:r>
      <w:r>
        <w:rPr>
          <w:rFonts w:ascii="Calibri" w:eastAsia="Calibri" w:hAnsi="Calibri" w:cs="Calibri"/>
        </w:rPr>
        <w:t xml:space="preserve"> Conférence de presse du 23 septembre 1971 // Discours et messages, Tome III, juillet 1970 - avril 1974. - Paris : Albin Michel, 1971. </w:t>
      </w:r>
    </w:p>
    <w:p w14:paraId="3B26E788" w14:textId="77777777" w:rsidR="00C97B1A" w:rsidRPr="00001CC0" w:rsidRDefault="00C97B1A" w:rsidP="00C97B1A">
      <w:pPr>
        <w:spacing w:after="5" w:line="250" w:lineRule="auto"/>
        <w:ind w:left="-5"/>
        <w:rPr>
          <w:lang w:val="en-US"/>
        </w:rPr>
      </w:pPr>
      <w:r w:rsidRPr="00001CC0">
        <w:rPr>
          <w:rFonts w:ascii="Calibri" w:eastAsia="Calibri" w:hAnsi="Calibri" w:cs="Calibri"/>
          <w:b/>
          <w:lang w:val="en-US"/>
        </w:rPr>
        <w:t>Samuelson Robert J.</w:t>
      </w:r>
      <w:r w:rsidRPr="00001CC0">
        <w:rPr>
          <w:rFonts w:ascii="Calibri" w:eastAsia="Calibri" w:hAnsi="Calibri" w:cs="Calibri"/>
          <w:lang w:val="en-US"/>
        </w:rPr>
        <w:t xml:space="preserve"> The Great Inflation and Its Aftermath: The Past and Future of American Affluence [Book]. - [s.l.] : Random House, 2008. </w:t>
      </w:r>
    </w:p>
    <w:p w14:paraId="5E8D21D3" w14:textId="77777777" w:rsidR="00C97B1A" w:rsidRPr="00001CC0" w:rsidRDefault="00C97B1A" w:rsidP="00C97B1A">
      <w:pPr>
        <w:spacing w:after="5" w:line="250" w:lineRule="auto"/>
        <w:ind w:left="-5"/>
        <w:rPr>
          <w:lang w:val="en-US"/>
        </w:rPr>
      </w:pPr>
      <w:r w:rsidRPr="00001CC0">
        <w:rPr>
          <w:rFonts w:ascii="Calibri" w:eastAsia="Calibri" w:hAnsi="Calibri" w:cs="Calibri"/>
          <w:b/>
          <w:lang w:val="en-US"/>
        </w:rPr>
        <w:t>Schulman Bruce J.</w:t>
      </w:r>
      <w:r w:rsidRPr="00001CC0">
        <w:rPr>
          <w:rFonts w:ascii="Calibri" w:eastAsia="Calibri" w:hAnsi="Calibri" w:cs="Calibri"/>
          <w:lang w:val="en-US"/>
        </w:rPr>
        <w:t xml:space="preserve"> The Seventies: The Great Shift in American Culture, Society, and Politics. </w:t>
      </w:r>
    </w:p>
    <w:p w14:paraId="67577830" w14:textId="78C1D7B1" w:rsidR="00C97B1A" w:rsidRPr="00001CC0" w:rsidRDefault="00C97B1A" w:rsidP="00C97B1A">
      <w:pPr>
        <w:spacing w:after="5" w:line="250" w:lineRule="auto"/>
        <w:ind w:left="-5"/>
        <w:rPr>
          <w:lang w:val="en-US"/>
        </w:rPr>
      </w:pPr>
      <w:r w:rsidRPr="00001CC0">
        <w:rPr>
          <w:rFonts w:ascii="Calibri" w:eastAsia="Calibri" w:hAnsi="Calibri" w:cs="Calibri"/>
          <w:lang w:val="en-US"/>
        </w:rPr>
        <w:t>[</w:t>
      </w:r>
      <w:r w:rsidR="003B5ABF" w:rsidRPr="003B5ABF">
        <w:rPr>
          <w:rFonts w:ascii="Calibri" w:eastAsia="Calibri" w:hAnsi="Calibri" w:cs="Calibri"/>
          <w:lang w:val="en-US"/>
        </w:rPr>
        <w:t>Book</w:t>
      </w:r>
      <w:r w:rsidRPr="00001CC0">
        <w:rPr>
          <w:rFonts w:ascii="Calibri" w:eastAsia="Calibri" w:hAnsi="Calibri" w:cs="Calibri"/>
          <w:lang w:val="en-US"/>
        </w:rPr>
        <w:t xml:space="preserve">]. - [s.l.] : Da Capo Press, 2001. </w:t>
      </w:r>
    </w:p>
    <w:p w14:paraId="21AAAFCB" w14:textId="77777777" w:rsidR="00C97B1A" w:rsidRPr="00001CC0" w:rsidRDefault="00C97B1A" w:rsidP="00C97B1A">
      <w:pPr>
        <w:spacing w:after="5" w:line="250" w:lineRule="auto"/>
        <w:ind w:left="-5"/>
        <w:rPr>
          <w:lang w:val="en-US"/>
        </w:rPr>
      </w:pPr>
      <w:r w:rsidRPr="00001CC0">
        <w:rPr>
          <w:rFonts w:ascii="Calibri" w:eastAsia="Calibri" w:hAnsi="Calibri" w:cs="Calibri"/>
          <w:b/>
          <w:lang w:val="en-US"/>
        </w:rPr>
        <w:t>Steil Benn.</w:t>
      </w:r>
      <w:r w:rsidRPr="00001CC0">
        <w:rPr>
          <w:rFonts w:ascii="Calibri" w:eastAsia="Calibri" w:hAnsi="Calibri" w:cs="Calibri"/>
          <w:lang w:val="en-US"/>
        </w:rPr>
        <w:t xml:space="preserve"> The Battle of Bretton Woods: John Maynard Keynes, Harry Dexter White, and the Making of a New World Order. [Book]. - [s.l.] : Princeton University Press, 2013. </w:t>
      </w:r>
    </w:p>
    <w:p w14:paraId="2C26B6DE" w14:textId="2CA2B44C" w:rsidR="00C97B1A" w:rsidRPr="00001CC0" w:rsidRDefault="00C97B1A" w:rsidP="00C97B1A">
      <w:pPr>
        <w:spacing w:after="5" w:line="250" w:lineRule="auto"/>
        <w:ind w:left="-5"/>
        <w:rPr>
          <w:lang w:val="en-US"/>
        </w:rPr>
      </w:pPr>
      <w:r w:rsidRPr="00001CC0">
        <w:rPr>
          <w:rFonts w:ascii="Calibri" w:eastAsia="Calibri" w:hAnsi="Calibri" w:cs="Calibri"/>
          <w:b/>
          <w:lang w:val="en-US"/>
        </w:rPr>
        <w:t>Stein J.</w:t>
      </w:r>
      <w:r w:rsidRPr="00001CC0">
        <w:rPr>
          <w:rFonts w:ascii="Calibri" w:eastAsia="Calibri" w:hAnsi="Calibri" w:cs="Calibri"/>
          <w:lang w:val="en-US"/>
        </w:rPr>
        <w:t xml:space="preserve"> Pivotal Decade: How the United States Traded Factories for Finance in the Seventies [</w:t>
      </w:r>
      <w:r w:rsidR="003B5ABF" w:rsidRPr="00094FC7">
        <w:rPr>
          <w:rFonts w:ascii="Calibri" w:eastAsia="Calibri" w:hAnsi="Calibri" w:cs="Calibri"/>
          <w:lang w:val="en-US"/>
        </w:rPr>
        <w:t>Book</w:t>
      </w:r>
      <w:r w:rsidRPr="00001CC0">
        <w:rPr>
          <w:rFonts w:ascii="Calibri" w:eastAsia="Calibri" w:hAnsi="Calibri" w:cs="Calibri"/>
          <w:lang w:val="en-US"/>
        </w:rPr>
        <w:t xml:space="preserve">]. - New Haven : Yale University Press, 2010. </w:t>
      </w:r>
    </w:p>
    <w:p w14:paraId="7B9339B6" w14:textId="77777777" w:rsidR="00E96F95" w:rsidRPr="00E96F95" w:rsidRDefault="00E96F95" w:rsidP="00E96F95">
      <w:pPr>
        <w:rPr>
          <w:lang w:val="en-US"/>
        </w:rPr>
      </w:pPr>
    </w:p>
    <w:sectPr w:rsidR="00E96F95" w:rsidRPr="00E96F95" w:rsidSect="00FB4074">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AD95" w14:textId="77777777" w:rsidR="00DE5AFC" w:rsidRDefault="00DE5AFC" w:rsidP="00EA04F1">
      <w:r>
        <w:separator/>
      </w:r>
    </w:p>
  </w:endnote>
  <w:endnote w:type="continuationSeparator" w:id="0">
    <w:p w14:paraId="23B8E762" w14:textId="77777777" w:rsidR="00DE5AFC" w:rsidRDefault="00DE5AFC" w:rsidP="00EA04F1">
      <w:r>
        <w:continuationSeparator/>
      </w:r>
    </w:p>
  </w:endnote>
  <w:endnote w:type="continuationNotice" w:id="1">
    <w:p w14:paraId="6FCE6002" w14:textId="77777777" w:rsidR="00DE5AFC" w:rsidRDefault="00DE5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73009124"/>
      <w:docPartObj>
        <w:docPartGallery w:val="Page Numbers (Bottom of Page)"/>
        <w:docPartUnique/>
      </w:docPartObj>
    </w:sdtPr>
    <w:sdtContent>
      <w:p w14:paraId="26839A33" w14:textId="77777777" w:rsidR="00FB4074" w:rsidRDefault="00FB407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942837002"/>
      <w:docPartObj>
        <w:docPartGallery w:val="Page Numbers (Bottom of Page)"/>
        <w:docPartUnique/>
      </w:docPartObj>
    </w:sdtPr>
    <w:sdtContent>
      <w:p w14:paraId="21BF4B94" w14:textId="77777777" w:rsidR="00EA04F1" w:rsidRDefault="00EA04F1" w:rsidP="00FB4074">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C33752" w14:textId="77777777" w:rsidR="00EA04F1" w:rsidRDefault="00EA04F1" w:rsidP="00EA04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4940563"/>
      <w:docPartObj>
        <w:docPartGallery w:val="Page Numbers (Bottom of Page)"/>
        <w:docPartUnique/>
      </w:docPartObj>
    </w:sdtPr>
    <w:sdtContent>
      <w:p w14:paraId="40D009E1" w14:textId="77777777" w:rsidR="00FB4074" w:rsidRDefault="00FB407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17CB44" w14:textId="77777777" w:rsidR="00EA04F1" w:rsidRDefault="00EA04F1" w:rsidP="00EA04F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47832291"/>
      <w:docPartObj>
        <w:docPartGallery w:val="Page Numbers (Bottom of Page)"/>
        <w:docPartUnique/>
      </w:docPartObj>
    </w:sdtPr>
    <w:sdtContent>
      <w:p w14:paraId="3ADAD596" w14:textId="77777777" w:rsidR="00FB4074" w:rsidRDefault="00FB407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7840BDDF" w14:textId="77777777" w:rsidR="00FB4074" w:rsidRDefault="00FB4074" w:rsidP="00FB407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7B85" w14:textId="77777777" w:rsidR="00DE5AFC" w:rsidRDefault="00DE5AFC" w:rsidP="00EA04F1">
      <w:r>
        <w:separator/>
      </w:r>
    </w:p>
  </w:footnote>
  <w:footnote w:type="continuationSeparator" w:id="0">
    <w:p w14:paraId="416E6248" w14:textId="77777777" w:rsidR="00DE5AFC" w:rsidRDefault="00DE5AFC" w:rsidP="00EA04F1">
      <w:r>
        <w:continuationSeparator/>
      </w:r>
    </w:p>
  </w:footnote>
  <w:footnote w:type="continuationNotice" w:id="1">
    <w:p w14:paraId="6E906D5F" w14:textId="77777777" w:rsidR="00DE5AFC" w:rsidRDefault="00DE5AFC"/>
  </w:footnote>
  <w:footnote w:id="2">
    <w:p w14:paraId="796D2583" w14:textId="46070A3D" w:rsidR="00C64D42" w:rsidRPr="00C74EAF" w:rsidRDefault="00F55C2C" w:rsidP="00C64D42">
      <w:pPr>
        <w:spacing w:after="5" w:line="250" w:lineRule="auto"/>
        <w:ind w:left="-5"/>
        <w:rPr>
          <w:rFonts w:asciiTheme="minorHAnsi" w:hAnsiTheme="minorHAnsi" w:cstheme="minorHAnsi"/>
          <w:sz w:val="20"/>
          <w:szCs w:val="20"/>
          <w:lang w:val="en-US"/>
        </w:rPr>
      </w:pPr>
      <w:r>
        <w:rPr>
          <w:rStyle w:val="Appelnotedebasdep"/>
        </w:rPr>
        <w:footnoteRef/>
      </w:r>
      <w:r w:rsidRPr="00C64D42">
        <w:rPr>
          <w:lang w:val="en-US"/>
        </w:rPr>
        <w:t xml:space="preserve"> </w:t>
      </w:r>
      <w:r w:rsidRPr="00C74EAF">
        <w:rPr>
          <w:rFonts w:asciiTheme="minorHAnsi" w:hAnsiTheme="minorHAnsi" w:cstheme="minorHAnsi"/>
          <w:sz w:val="20"/>
          <w:szCs w:val="20"/>
          <w:lang w:val="en-US"/>
        </w:rPr>
        <w:t>Nixon, 1971</w:t>
      </w:r>
      <w:r w:rsidR="00C64D42" w:rsidRPr="00C74EAF">
        <w:rPr>
          <w:rFonts w:asciiTheme="minorHAnsi" w:hAnsiTheme="minorHAnsi" w:cstheme="minorHAnsi"/>
          <w:sz w:val="20"/>
          <w:szCs w:val="20"/>
          <w:lang w:val="en-US"/>
        </w:rPr>
        <w:t>,</w:t>
      </w:r>
      <w:r w:rsidR="00C64D42" w:rsidRPr="00C74EAF">
        <w:rPr>
          <w:rFonts w:asciiTheme="minorHAnsi" w:eastAsia="Calibri" w:hAnsiTheme="minorHAnsi" w:cstheme="minorHAnsi"/>
          <w:sz w:val="20"/>
          <w:szCs w:val="20"/>
          <w:lang w:val="en-US"/>
        </w:rPr>
        <w:t xml:space="preserve"> The Challenge of Peace. [Book]. - </w:t>
      </w:r>
    </w:p>
    <w:p w14:paraId="04B27A3C" w14:textId="5F67699B" w:rsidR="00F55C2C" w:rsidRPr="00C64D42" w:rsidRDefault="00C64D42" w:rsidP="00C74EAF">
      <w:pPr>
        <w:spacing w:after="5" w:line="250" w:lineRule="auto"/>
        <w:ind w:left="-5"/>
        <w:rPr>
          <w:lang w:val="en-US"/>
        </w:rPr>
      </w:pPr>
      <w:r w:rsidRPr="00C74EAF">
        <w:rPr>
          <w:rFonts w:asciiTheme="minorHAnsi" w:eastAsia="Calibri" w:hAnsiTheme="minorHAnsi" w:cstheme="minorHAnsi"/>
          <w:sz w:val="20"/>
          <w:szCs w:val="20"/>
          <w:lang w:val="en-US"/>
        </w:rPr>
        <w:t>https://www.presidency.ucsb.edu/documents/address-the-nation-outlining-new-economicpolicy-the-challenge-peace : The American Presidency Project , 1971.</w:t>
      </w:r>
      <w:r w:rsidRPr="00001CC0">
        <w:rPr>
          <w:rFonts w:ascii="Calibri" w:eastAsia="Calibri" w:hAnsi="Calibri" w:cs="Calibri"/>
          <w:lang w:val="en-US"/>
        </w:rPr>
        <w:t xml:space="preserve"> </w:t>
      </w:r>
    </w:p>
  </w:footnote>
  <w:footnote w:id="3">
    <w:p w14:paraId="7C179A91" w14:textId="7118D0F9" w:rsidR="00F55C2C" w:rsidRPr="00C74EAF" w:rsidRDefault="00F55C2C">
      <w:pPr>
        <w:pStyle w:val="Notedebasdepage"/>
        <w:rPr>
          <w:lang w:val="en-US"/>
        </w:rPr>
      </w:pPr>
      <w:r>
        <w:rPr>
          <w:rStyle w:val="Appelnotedebasdep"/>
        </w:rPr>
        <w:footnoteRef/>
      </w:r>
      <w:r w:rsidRPr="00C74EAF">
        <w:rPr>
          <w:lang w:val="en-US"/>
        </w:rPr>
        <w:t xml:space="preserve"> </w:t>
      </w:r>
      <w:r w:rsidR="00C74EAF" w:rsidRPr="00C74EAF">
        <w:rPr>
          <w:i/>
          <w:iCs/>
          <w:lang w:val="en-US"/>
        </w:rPr>
        <w:t>Ibid</w:t>
      </w:r>
      <w:r w:rsidR="00C74EAF">
        <w:rPr>
          <w:i/>
          <w:iCs/>
          <w:lang w:val="en-US"/>
        </w:rPr>
        <w:t>.</w:t>
      </w:r>
    </w:p>
  </w:footnote>
  <w:footnote w:id="4">
    <w:p w14:paraId="0D71DB2F" w14:textId="0E4475E0" w:rsidR="00F55C2C" w:rsidRPr="00C74EAF" w:rsidRDefault="00F55C2C">
      <w:pPr>
        <w:pStyle w:val="Notedebasdepage"/>
        <w:rPr>
          <w:lang w:val="en-US"/>
        </w:rPr>
      </w:pPr>
      <w:r>
        <w:rPr>
          <w:rStyle w:val="Appelnotedebasdep"/>
        </w:rPr>
        <w:footnoteRef/>
      </w:r>
      <w:r w:rsidRPr="00C74EAF">
        <w:rPr>
          <w:lang w:val="en-US"/>
        </w:rPr>
        <w:t xml:space="preserve"> </w:t>
      </w:r>
      <w:r w:rsidR="00C74EAF" w:rsidRPr="00C74EAF">
        <w:rPr>
          <w:i/>
          <w:iCs/>
          <w:lang w:val="en-US"/>
        </w:rPr>
        <w:t>Ibid</w:t>
      </w:r>
      <w:r w:rsidR="00C74EAF">
        <w:rPr>
          <w:i/>
          <w:iCs/>
          <w:lang w:val="en-US"/>
        </w:rPr>
        <w:t>.</w:t>
      </w:r>
    </w:p>
  </w:footnote>
  <w:footnote w:id="5">
    <w:p w14:paraId="077CA3E1" w14:textId="77777777" w:rsidR="00C74EAF" w:rsidRPr="00C74EAF" w:rsidRDefault="00F55C2C" w:rsidP="00C74EAF">
      <w:pPr>
        <w:spacing w:after="5" w:line="250" w:lineRule="auto"/>
        <w:ind w:left="-5"/>
        <w:rPr>
          <w:rFonts w:asciiTheme="minorHAnsi" w:hAnsiTheme="minorHAnsi" w:cstheme="minorHAnsi"/>
          <w:sz w:val="20"/>
          <w:szCs w:val="20"/>
          <w:lang w:val="en-US"/>
        </w:rPr>
      </w:pPr>
      <w:r>
        <w:rPr>
          <w:rStyle w:val="Appelnotedebasdep"/>
        </w:rPr>
        <w:footnoteRef/>
      </w:r>
      <w:r w:rsidRPr="00C74EAF">
        <w:rPr>
          <w:lang w:val="en-US"/>
        </w:rPr>
        <w:t xml:space="preserve"> </w:t>
      </w:r>
      <w:r w:rsidR="00C74EAF" w:rsidRPr="00C74EAF">
        <w:rPr>
          <w:rFonts w:asciiTheme="minorHAnsi" w:hAnsiTheme="minorHAnsi" w:cstheme="minorHAnsi"/>
          <w:sz w:val="20"/>
          <w:szCs w:val="20"/>
          <w:lang w:val="en-US"/>
        </w:rPr>
        <w:t>Nixon, 1971,</w:t>
      </w:r>
      <w:r w:rsidR="00C74EAF" w:rsidRPr="00C74EAF">
        <w:rPr>
          <w:rFonts w:asciiTheme="minorHAnsi" w:eastAsia="Calibri" w:hAnsiTheme="minorHAnsi" w:cstheme="minorHAnsi"/>
          <w:sz w:val="20"/>
          <w:szCs w:val="20"/>
          <w:lang w:val="en-US"/>
        </w:rPr>
        <w:t xml:space="preserve"> The Challenge of Peace. [Book]. - </w:t>
      </w:r>
    </w:p>
    <w:p w14:paraId="5AB56A9B" w14:textId="53A79361" w:rsidR="00F55C2C" w:rsidRPr="00C74EAF" w:rsidRDefault="00C74EAF" w:rsidP="00C74EAF">
      <w:pPr>
        <w:pStyle w:val="Notedebasdepage"/>
        <w:rPr>
          <w:lang w:val="en-US"/>
        </w:rPr>
      </w:pPr>
      <w:r w:rsidRPr="00C74EAF">
        <w:rPr>
          <w:rFonts w:asciiTheme="minorHAnsi" w:eastAsia="Calibri" w:hAnsiTheme="minorHAnsi" w:cstheme="minorHAnsi"/>
          <w:lang w:val="en-US"/>
        </w:rPr>
        <w:t>https://www.presidency.ucsb.edu/documents/address-the-nation-outlining-new-economicpolicy-the-challenge-peace : The American Presidency Project , 1971.</w:t>
      </w:r>
    </w:p>
  </w:footnote>
  <w:footnote w:id="6">
    <w:p w14:paraId="19A22736" w14:textId="4E1FB624" w:rsidR="00F55C2C" w:rsidRPr="00C74EAF" w:rsidRDefault="00F55C2C">
      <w:pPr>
        <w:pStyle w:val="Notedebasdepage"/>
      </w:pPr>
      <w:r>
        <w:rPr>
          <w:rStyle w:val="Appelnotedebasdep"/>
        </w:rPr>
        <w:footnoteRef/>
      </w:r>
      <w:r w:rsidRPr="00C74EAF">
        <w:t xml:space="preserve"> </w:t>
      </w:r>
      <w:r w:rsidRPr="00C74EAF">
        <w:rPr>
          <w:rFonts w:asciiTheme="minorHAnsi" w:hAnsiTheme="minorHAnsi" w:cstheme="minorHAnsi"/>
        </w:rPr>
        <w:t>Pompidou, 1971</w:t>
      </w:r>
      <w:r w:rsidR="00C74EAF" w:rsidRPr="00C74EAF">
        <w:rPr>
          <w:rFonts w:asciiTheme="minorHAnsi" w:hAnsiTheme="minorHAnsi" w:cstheme="minorHAnsi"/>
        </w:rPr>
        <w:t>,</w:t>
      </w:r>
      <w:r w:rsidR="00C74EAF" w:rsidRPr="00C74EAF">
        <w:rPr>
          <w:rFonts w:asciiTheme="minorHAnsi" w:eastAsia="Calibri" w:hAnsiTheme="minorHAnsi" w:cstheme="minorHAnsi"/>
        </w:rPr>
        <w:t xml:space="preserve"> Conférence de presse du 23 septembre 1971 // Discours et messages, Tome III, juillet 1970 - avril 1974. - Paris : Albin Michel, 1971.</w:t>
      </w:r>
    </w:p>
  </w:footnote>
  <w:footnote w:id="7">
    <w:p w14:paraId="7FDF2B70" w14:textId="4F7544A2" w:rsidR="00F55C2C" w:rsidRPr="00C74EAF" w:rsidRDefault="00F55C2C">
      <w:pPr>
        <w:pStyle w:val="Notedebasdepage"/>
        <w:rPr>
          <w:lang w:val="en-US"/>
        </w:rPr>
      </w:pPr>
      <w:r>
        <w:rPr>
          <w:rStyle w:val="Appelnotedebasdep"/>
        </w:rPr>
        <w:footnoteRef/>
      </w:r>
      <w:r w:rsidRPr="00217E3A">
        <w:rPr>
          <w:lang w:val="en-US"/>
        </w:rPr>
        <w:t xml:space="preserve"> </w:t>
      </w:r>
      <w:r w:rsidR="00C74EAF" w:rsidRPr="00217E3A">
        <w:rPr>
          <w:i/>
          <w:iCs/>
          <w:lang w:val="en-US"/>
        </w:rPr>
        <w:t>ibid.</w:t>
      </w:r>
    </w:p>
  </w:footnote>
  <w:footnote w:id="8">
    <w:p w14:paraId="6974D300" w14:textId="620387FF" w:rsidR="00F55C2C" w:rsidRPr="00C74EAF" w:rsidRDefault="00F55C2C">
      <w:pPr>
        <w:pStyle w:val="Notedebasdepage"/>
        <w:rPr>
          <w:i/>
          <w:iCs/>
          <w:lang w:val="en-US"/>
        </w:rPr>
      </w:pPr>
      <w:r>
        <w:rPr>
          <w:rStyle w:val="Appelnotedebasdep"/>
        </w:rPr>
        <w:footnoteRef/>
      </w:r>
      <w:r w:rsidRPr="00C74EAF">
        <w:rPr>
          <w:lang w:val="en-US"/>
        </w:rPr>
        <w:t xml:space="preserve"> </w:t>
      </w:r>
      <w:r w:rsidR="00C74EAF" w:rsidRPr="00C74EAF">
        <w:rPr>
          <w:i/>
          <w:iCs/>
          <w:lang w:val="en-US"/>
        </w:rPr>
        <w:t>Ibid.</w:t>
      </w:r>
    </w:p>
  </w:footnote>
  <w:footnote w:id="9">
    <w:p w14:paraId="4F2F8127" w14:textId="77777777" w:rsidR="00C74EAF" w:rsidRPr="00C74EAF" w:rsidRDefault="004F3EFB" w:rsidP="00C74EAF">
      <w:pPr>
        <w:spacing w:after="5" w:line="250" w:lineRule="auto"/>
        <w:ind w:left="-5"/>
        <w:rPr>
          <w:rFonts w:asciiTheme="minorHAnsi" w:hAnsiTheme="minorHAnsi" w:cstheme="minorHAnsi"/>
          <w:sz w:val="20"/>
          <w:szCs w:val="20"/>
          <w:lang w:val="en-US"/>
        </w:rPr>
      </w:pPr>
      <w:r>
        <w:rPr>
          <w:rStyle w:val="Appelnotedebasdep"/>
        </w:rPr>
        <w:footnoteRef/>
      </w:r>
      <w:r w:rsidRPr="00C74EAF">
        <w:rPr>
          <w:lang w:val="en-US"/>
        </w:rPr>
        <w:t xml:space="preserve"> </w:t>
      </w:r>
      <w:r w:rsidR="00C74EAF" w:rsidRPr="00C74EAF">
        <w:rPr>
          <w:rFonts w:asciiTheme="minorHAnsi" w:hAnsiTheme="minorHAnsi" w:cstheme="minorHAnsi"/>
          <w:sz w:val="20"/>
          <w:szCs w:val="20"/>
          <w:lang w:val="en-US"/>
        </w:rPr>
        <w:t>Nixon, 1971,</w:t>
      </w:r>
      <w:r w:rsidR="00C74EAF" w:rsidRPr="00C74EAF">
        <w:rPr>
          <w:rFonts w:asciiTheme="minorHAnsi" w:eastAsia="Calibri" w:hAnsiTheme="minorHAnsi" w:cstheme="minorHAnsi"/>
          <w:sz w:val="20"/>
          <w:szCs w:val="20"/>
          <w:lang w:val="en-US"/>
        </w:rPr>
        <w:t xml:space="preserve"> The Challenge of Peace. [Book]. - </w:t>
      </w:r>
    </w:p>
    <w:p w14:paraId="0F4ED162" w14:textId="6C7A93A6" w:rsidR="004F3EFB" w:rsidRPr="00C74EAF" w:rsidRDefault="00C74EAF" w:rsidP="00C74EAF">
      <w:pPr>
        <w:pStyle w:val="Notedebasdepage"/>
        <w:rPr>
          <w:lang w:val="en-US"/>
        </w:rPr>
      </w:pPr>
      <w:r w:rsidRPr="00C74EAF">
        <w:rPr>
          <w:rFonts w:asciiTheme="minorHAnsi" w:eastAsia="Calibri" w:hAnsiTheme="minorHAnsi" w:cstheme="minorHAnsi"/>
          <w:lang w:val="en-US"/>
        </w:rPr>
        <w:t>https://www.presidency.ucsb.edu/documents/address-the-nation-outlining-new-economicpolicy-the-challenge-peace : The American Presidency Project , 1971.</w:t>
      </w:r>
    </w:p>
  </w:footnote>
  <w:footnote w:id="10">
    <w:p w14:paraId="7FE473F2" w14:textId="2C21065C" w:rsidR="004F3EFB" w:rsidRDefault="004F3EFB">
      <w:pPr>
        <w:pStyle w:val="Notedebasdepage"/>
      </w:pPr>
      <w:r>
        <w:rPr>
          <w:rStyle w:val="Appelnotedebasdep"/>
        </w:rPr>
        <w:footnoteRef/>
      </w:r>
      <w:r>
        <w:t xml:space="preserve"> </w:t>
      </w:r>
      <w:r w:rsidR="00C74EAF" w:rsidRPr="00C74EAF">
        <w:rPr>
          <w:rFonts w:asciiTheme="minorHAnsi" w:hAnsiTheme="minorHAnsi" w:cstheme="minorHAnsi"/>
        </w:rPr>
        <w:t>Pompidou, 1971,</w:t>
      </w:r>
      <w:r w:rsidR="00C74EAF" w:rsidRPr="00C74EAF">
        <w:rPr>
          <w:rFonts w:asciiTheme="minorHAnsi" w:eastAsia="Calibri" w:hAnsiTheme="minorHAnsi" w:cstheme="minorHAnsi"/>
        </w:rPr>
        <w:t xml:space="preserve"> Conférence de presse du 23 septembre 1971 // Discours et messages, Tome III, juillet 1970 - avril 1974. - Paris : Albin Michel, 1971.</w:t>
      </w:r>
    </w:p>
  </w:footnote>
  <w:footnote w:id="11">
    <w:p w14:paraId="351BE0CA" w14:textId="27EBBAC6" w:rsidR="00C74EAF" w:rsidRPr="00C74EAF" w:rsidRDefault="004F3EFB" w:rsidP="00C74EAF">
      <w:pPr>
        <w:spacing w:after="5" w:line="250" w:lineRule="auto"/>
        <w:ind w:left="-5"/>
        <w:rPr>
          <w:rFonts w:asciiTheme="minorHAnsi" w:hAnsiTheme="minorHAnsi" w:cstheme="minorHAnsi"/>
          <w:sz w:val="20"/>
          <w:szCs w:val="20"/>
          <w:lang w:val="en-US"/>
        </w:rPr>
      </w:pPr>
      <w:r>
        <w:rPr>
          <w:rStyle w:val="Appelnotedebasdep"/>
        </w:rPr>
        <w:footnoteRef/>
      </w:r>
      <w:r w:rsidRPr="00C74EAF">
        <w:rPr>
          <w:lang w:val="en-US"/>
        </w:rPr>
        <w:t xml:space="preserve"> </w:t>
      </w:r>
      <w:r w:rsidRPr="00C74EAF">
        <w:rPr>
          <w:rFonts w:asciiTheme="minorHAnsi" w:hAnsiTheme="minorHAnsi" w:cstheme="minorHAnsi"/>
          <w:sz w:val="20"/>
          <w:szCs w:val="20"/>
          <w:lang w:val="en-US"/>
        </w:rPr>
        <w:t>Schulman, 2001</w:t>
      </w:r>
      <w:r w:rsidR="00C74EAF" w:rsidRPr="00C74EAF">
        <w:rPr>
          <w:rFonts w:asciiTheme="minorHAnsi" w:hAnsiTheme="minorHAnsi" w:cstheme="minorHAnsi"/>
          <w:sz w:val="20"/>
          <w:szCs w:val="20"/>
          <w:lang w:val="en-US"/>
        </w:rPr>
        <w:t xml:space="preserve">, </w:t>
      </w:r>
      <w:r w:rsidR="00C74EAF" w:rsidRPr="00C74EAF">
        <w:rPr>
          <w:rFonts w:asciiTheme="minorHAnsi" w:eastAsia="Calibri" w:hAnsiTheme="minorHAnsi" w:cstheme="minorHAnsi"/>
          <w:sz w:val="20"/>
          <w:szCs w:val="20"/>
          <w:lang w:val="en-US"/>
        </w:rPr>
        <w:t xml:space="preserve">The Seventies: The Great Shift in American Culture, Society, and Politics. </w:t>
      </w:r>
    </w:p>
    <w:p w14:paraId="4A1B4522" w14:textId="36B45E3F" w:rsidR="004F3EFB" w:rsidRPr="00C74EAF" w:rsidRDefault="00C74EAF" w:rsidP="00C74EAF">
      <w:pPr>
        <w:pStyle w:val="Notedebasdepage"/>
        <w:rPr>
          <w:lang w:val="en-US"/>
        </w:rPr>
      </w:pPr>
      <w:r w:rsidRPr="00C74EAF">
        <w:rPr>
          <w:rFonts w:asciiTheme="minorHAnsi" w:eastAsia="Calibri" w:hAnsiTheme="minorHAnsi" w:cstheme="minorHAnsi"/>
          <w:lang w:val="en-US"/>
        </w:rPr>
        <w:t>[</w:t>
      </w:r>
      <w:r>
        <w:rPr>
          <w:rFonts w:asciiTheme="minorHAnsi" w:eastAsia="Calibri" w:hAnsiTheme="minorHAnsi" w:cstheme="minorHAnsi"/>
          <w:lang w:val="en-US"/>
        </w:rPr>
        <w:t>Book</w:t>
      </w:r>
      <w:r w:rsidRPr="00C74EAF">
        <w:rPr>
          <w:rFonts w:asciiTheme="minorHAnsi" w:eastAsia="Calibri" w:hAnsiTheme="minorHAnsi" w:cstheme="minorHAnsi"/>
          <w:lang w:val="en-US"/>
        </w:rPr>
        <w:t>]. - [s.l.] : Da Capo Press, 2001.</w:t>
      </w:r>
    </w:p>
  </w:footnote>
  <w:footnote w:id="12">
    <w:p w14:paraId="2D3BB3A4" w14:textId="57BBEFB3" w:rsidR="004F3EFB" w:rsidRPr="00C74EAF" w:rsidRDefault="004F3EFB">
      <w:pPr>
        <w:pStyle w:val="Notedebasdepage"/>
        <w:rPr>
          <w:rFonts w:asciiTheme="minorHAnsi" w:hAnsiTheme="minorHAnsi" w:cstheme="minorHAnsi"/>
          <w:lang w:val="en-US"/>
        </w:rPr>
      </w:pPr>
      <w:r>
        <w:rPr>
          <w:rStyle w:val="Appelnotedebasdep"/>
        </w:rPr>
        <w:footnoteRef/>
      </w:r>
      <w:r w:rsidRPr="003F5B91">
        <w:rPr>
          <w:lang w:val="en-US"/>
        </w:rPr>
        <w:t xml:space="preserve"> </w:t>
      </w:r>
      <w:r w:rsidRPr="00C74EAF">
        <w:rPr>
          <w:rFonts w:asciiTheme="minorHAnsi" w:hAnsiTheme="minorHAnsi" w:cstheme="minorHAnsi"/>
          <w:lang w:val="en-US"/>
        </w:rPr>
        <w:t>Stein, 2010</w:t>
      </w:r>
      <w:r w:rsidR="00C74EAF" w:rsidRPr="00C74EAF">
        <w:rPr>
          <w:rFonts w:asciiTheme="minorHAnsi" w:hAnsiTheme="minorHAnsi" w:cstheme="minorHAnsi"/>
          <w:lang w:val="en-US"/>
        </w:rPr>
        <w:t xml:space="preserve">, </w:t>
      </w:r>
      <w:r w:rsidR="00C74EAF" w:rsidRPr="00C74EAF">
        <w:rPr>
          <w:rFonts w:asciiTheme="minorHAnsi" w:eastAsia="Calibri" w:hAnsiTheme="minorHAnsi" w:cstheme="minorHAnsi"/>
          <w:lang w:val="en-US"/>
        </w:rPr>
        <w:t>Pivotal Decade: How the United States Traded Factories for Finance in the Seventies [Livre]. - New Haven : Yale University Press, 2010.</w:t>
      </w:r>
    </w:p>
  </w:footnote>
  <w:footnote w:id="13">
    <w:p w14:paraId="43D77247" w14:textId="77777777" w:rsidR="00C74EAF" w:rsidRPr="00C74EAF" w:rsidRDefault="006405ED" w:rsidP="00C74EAF">
      <w:pPr>
        <w:spacing w:after="5" w:line="250" w:lineRule="auto"/>
        <w:ind w:left="-5"/>
        <w:rPr>
          <w:rFonts w:asciiTheme="minorHAnsi" w:hAnsiTheme="minorHAnsi" w:cstheme="minorHAnsi"/>
          <w:sz w:val="20"/>
          <w:szCs w:val="20"/>
          <w:lang w:val="en-US"/>
        </w:rPr>
      </w:pPr>
      <w:r>
        <w:rPr>
          <w:rStyle w:val="Appelnotedebasdep"/>
        </w:rPr>
        <w:footnoteRef/>
      </w:r>
      <w:r w:rsidRPr="00AE6CFE">
        <w:rPr>
          <w:lang w:val="en-US"/>
        </w:rPr>
        <w:t xml:space="preserve"> </w:t>
      </w:r>
      <w:r w:rsidR="00C74EAF" w:rsidRPr="00C74EAF">
        <w:rPr>
          <w:rFonts w:asciiTheme="minorHAnsi" w:hAnsiTheme="minorHAnsi" w:cstheme="minorHAnsi"/>
          <w:sz w:val="20"/>
          <w:szCs w:val="20"/>
          <w:lang w:val="en-US"/>
        </w:rPr>
        <w:t xml:space="preserve">Schulman, 2001, </w:t>
      </w:r>
      <w:r w:rsidR="00C74EAF" w:rsidRPr="00C74EAF">
        <w:rPr>
          <w:rFonts w:asciiTheme="minorHAnsi" w:eastAsia="Calibri" w:hAnsiTheme="minorHAnsi" w:cstheme="minorHAnsi"/>
          <w:sz w:val="20"/>
          <w:szCs w:val="20"/>
          <w:lang w:val="en-US"/>
        </w:rPr>
        <w:t xml:space="preserve">The Seventies: The Great Shift in American Culture, Society, and Politics. </w:t>
      </w:r>
    </w:p>
    <w:p w14:paraId="099A6CC1" w14:textId="3B47D68D" w:rsidR="006405ED" w:rsidRPr="00AE6CFE" w:rsidRDefault="00C74EAF" w:rsidP="00C74EAF">
      <w:pPr>
        <w:pStyle w:val="Notedebasdepage"/>
        <w:rPr>
          <w:lang w:val="en-US"/>
        </w:rPr>
      </w:pPr>
      <w:r w:rsidRPr="00C74EAF">
        <w:rPr>
          <w:rFonts w:asciiTheme="minorHAnsi" w:eastAsia="Calibri" w:hAnsiTheme="minorHAnsi" w:cstheme="minorHAnsi"/>
          <w:lang w:val="en-US"/>
        </w:rPr>
        <w:t>[</w:t>
      </w:r>
      <w:r>
        <w:rPr>
          <w:rFonts w:asciiTheme="minorHAnsi" w:eastAsia="Calibri" w:hAnsiTheme="minorHAnsi" w:cstheme="minorHAnsi"/>
          <w:lang w:val="en-US"/>
        </w:rPr>
        <w:t>Book</w:t>
      </w:r>
      <w:r w:rsidRPr="00C74EAF">
        <w:rPr>
          <w:rFonts w:asciiTheme="minorHAnsi" w:eastAsia="Calibri" w:hAnsiTheme="minorHAnsi" w:cstheme="minorHAnsi"/>
          <w:lang w:val="en-US"/>
        </w:rPr>
        <w:t>]. - [s.l.] : Da Capo Press, 2001.</w:t>
      </w:r>
    </w:p>
  </w:footnote>
  <w:footnote w:id="14">
    <w:p w14:paraId="044AF046" w14:textId="415ECF4F" w:rsidR="006405ED" w:rsidRPr="00AE6CFE" w:rsidRDefault="006405ED" w:rsidP="006405ED">
      <w:pPr>
        <w:pStyle w:val="Notedebasdepage"/>
        <w:rPr>
          <w:lang w:val="en-US"/>
        </w:rPr>
      </w:pPr>
      <w:r>
        <w:rPr>
          <w:rStyle w:val="Appelnotedebasdep"/>
        </w:rPr>
        <w:footnoteRef/>
      </w:r>
      <w:r w:rsidRPr="00AE6CFE">
        <w:rPr>
          <w:lang w:val="en-US"/>
        </w:rPr>
        <w:t xml:space="preserve"> </w:t>
      </w:r>
      <w:r w:rsidR="00C74EAF" w:rsidRPr="00C74EAF">
        <w:rPr>
          <w:rFonts w:asciiTheme="minorHAnsi" w:hAnsiTheme="minorHAnsi" w:cstheme="minorHAnsi"/>
          <w:lang w:val="en-US"/>
        </w:rPr>
        <w:t xml:space="preserve">Stein, 2010, </w:t>
      </w:r>
      <w:r w:rsidR="00C74EAF" w:rsidRPr="00C74EAF">
        <w:rPr>
          <w:rFonts w:asciiTheme="minorHAnsi" w:eastAsia="Calibri" w:hAnsiTheme="minorHAnsi" w:cstheme="minorHAnsi"/>
          <w:lang w:val="en-US"/>
        </w:rPr>
        <w:t>Pivotal Decade: How the United States Traded Factories for Finance in the Seventies [Livre]. - New Haven : Yale University Press, 2010.</w:t>
      </w:r>
    </w:p>
  </w:footnote>
  <w:footnote w:id="15">
    <w:p w14:paraId="2F91E5D0" w14:textId="6CCF2697" w:rsidR="00C74EAF" w:rsidRPr="00C74EAF" w:rsidRDefault="006405ED" w:rsidP="00C74EAF">
      <w:pPr>
        <w:spacing w:after="5" w:line="250" w:lineRule="auto"/>
        <w:ind w:left="-5"/>
        <w:rPr>
          <w:rFonts w:asciiTheme="minorHAnsi" w:hAnsiTheme="minorHAnsi" w:cstheme="minorHAnsi"/>
          <w:sz w:val="20"/>
          <w:szCs w:val="20"/>
          <w:lang w:val="en-US"/>
        </w:rPr>
      </w:pPr>
      <w:r>
        <w:rPr>
          <w:rStyle w:val="Appelnotedebasdep"/>
        </w:rPr>
        <w:footnoteRef/>
      </w:r>
      <w:r w:rsidRPr="00AE6CFE">
        <w:rPr>
          <w:lang w:val="en-US"/>
        </w:rPr>
        <w:t xml:space="preserve"> </w:t>
      </w:r>
      <w:r w:rsidRPr="00C74EAF">
        <w:rPr>
          <w:rFonts w:asciiTheme="minorHAnsi" w:hAnsiTheme="minorHAnsi" w:cstheme="minorHAnsi"/>
          <w:sz w:val="20"/>
          <w:szCs w:val="20"/>
          <w:lang w:val="en-US"/>
        </w:rPr>
        <w:t>Eichengreen, 1996</w:t>
      </w:r>
      <w:r w:rsidR="00C74EAF" w:rsidRPr="00C74EAF">
        <w:rPr>
          <w:rFonts w:asciiTheme="minorHAnsi" w:hAnsiTheme="minorHAnsi" w:cstheme="minorHAnsi"/>
          <w:sz w:val="20"/>
          <w:szCs w:val="20"/>
          <w:lang w:val="en-US"/>
        </w:rPr>
        <w:t>,</w:t>
      </w:r>
      <w:r w:rsidR="00C74EAF" w:rsidRPr="00C74EAF">
        <w:rPr>
          <w:rFonts w:asciiTheme="minorHAnsi" w:eastAsia="Calibri" w:hAnsiTheme="minorHAnsi" w:cstheme="minorHAnsi"/>
          <w:sz w:val="20"/>
          <w:szCs w:val="20"/>
          <w:lang w:val="en-US"/>
        </w:rPr>
        <w:t xml:space="preserve"> Globalizing Capital: A History of the International Monetary System. </w:t>
      </w:r>
    </w:p>
    <w:p w14:paraId="49F05DD5" w14:textId="0B2A320F" w:rsidR="006405ED" w:rsidRPr="00AE6CFE" w:rsidRDefault="00C74EAF" w:rsidP="00C74EAF">
      <w:pPr>
        <w:pStyle w:val="Notedebasdepage"/>
        <w:rPr>
          <w:lang w:val="en-US"/>
        </w:rPr>
      </w:pPr>
      <w:r w:rsidRPr="00C74EAF">
        <w:rPr>
          <w:rFonts w:asciiTheme="minorHAnsi" w:eastAsia="Calibri" w:hAnsiTheme="minorHAnsi" w:cstheme="minorHAnsi"/>
          <w:lang w:val="en-US"/>
        </w:rPr>
        <w:t>[Book]. - [s.l.] : Princeton University Press, 1996.</w:t>
      </w:r>
    </w:p>
  </w:footnote>
  <w:footnote w:id="16">
    <w:p w14:paraId="254C9B42" w14:textId="248B59D7" w:rsidR="006405ED" w:rsidRPr="00C97B1A" w:rsidRDefault="006405ED" w:rsidP="00C74EAF">
      <w:pPr>
        <w:spacing w:after="5" w:line="250" w:lineRule="auto"/>
        <w:ind w:left="-5"/>
        <w:rPr>
          <w:lang w:val="en-US"/>
        </w:rPr>
      </w:pPr>
      <w:r>
        <w:rPr>
          <w:rStyle w:val="Appelnotedebasdep"/>
        </w:rPr>
        <w:footnoteRef/>
      </w:r>
      <w:r w:rsidRPr="00C97B1A">
        <w:rPr>
          <w:lang w:val="en-US"/>
        </w:rPr>
        <w:t xml:space="preserve"> </w:t>
      </w:r>
      <w:r w:rsidRPr="00C74EAF">
        <w:rPr>
          <w:rFonts w:asciiTheme="minorHAnsi" w:hAnsiTheme="minorHAnsi" w:cstheme="minorHAnsi"/>
          <w:sz w:val="20"/>
          <w:szCs w:val="20"/>
          <w:lang w:val="en-US"/>
        </w:rPr>
        <w:t>Nichter, 2014</w:t>
      </w:r>
      <w:r w:rsidR="00C74EAF" w:rsidRPr="00C74EAF">
        <w:rPr>
          <w:rFonts w:asciiTheme="minorHAnsi" w:hAnsiTheme="minorHAnsi" w:cstheme="minorHAnsi"/>
          <w:sz w:val="20"/>
          <w:szCs w:val="20"/>
          <w:lang w:val="en-US"/>
        </w:rPr>
        <w:t>,</w:t>
      </w:r>
      <w:r w:rsidR="00C74EAF" w:rsidRPr="00C74EAF">
        <w:rPr>
          <w:rFonts w:asciiTheme="minorHAnsi" w:eastAsia="Calibri" w:hAnsiTheme="minorHAnsi" w:cstheme="minorHAnsi"/>
          <w:sz w:val="20"/>
          <w:szCs w:val="20"/>
          <w:lang w:val="en-US"/>
        </w:rPr>
        <w:t xml:space="preserve"> The Nixon Tapes: 1971–1972 [</w:t>
      </w:r>
      <w:r w:rsidR="00C74EAF">
        <w:rPr>
          <w:rFonts w:asciiTheme="minorHAnsi" w:eastAsia="Calibri" w:hAnsiTheme="minorHAnsi" w:cstheme="minorHAnsi"/>
          <w:sz w:val="20"/>
          <w:szCs w:val="20"/>
          <w:lang w:val="en-US"/>
        </w:rPr>
        <w:t>Book</w:t>
      </w:r>
      <w:r w:rsidR="00C74EAF" w:rsidRPr="00C74EAF">
        <w:rPr>
          <w:rFonts w:asciiTheme="minorHAnsi" w:eastAsia="Calibri" w:hAnsiTheme="minorHAnsi" w:cstheme="minorHAnsi"/>
          <w:sz w:val="20"/>
          <w:szCs w:val="20"/>
          <w:lang w:val="en-US"/>
        </w:rPr>
        <w:t>]. - [s.l.] : Mariner Books, 2014.</w:t>
      </w:r>
      <w:r w:rsidR="00C74EAF" w:rsidRPr="00001CC0">
        <w:rPr>
          <w:rFonts w:ascii="Calibri" w:eastAsia="Calibri" w:hAnsi="Calibri" w:cs="Calibri"/>
          <w:lang w:val="en-US"/>
        </w:rPr>
        <w:t xml:space="preserve"> </w:t>
      </w:r>
    </w:p>
  </w:footnote>
  <w:footnote w:id="17">
    <w:p w14:paraId="06ECF584" w14:textId="6D3206EF" w:rsidR="006405ED" w:rsidRDefault="006405ED" w:rsidP="006405ED">
      <w:pPr>
        <w:pStyle w:val="Notedebasdepage"/>
      </w:pPr>
      <w:r>
        <w:rPr>
          <w:rStyle w:val="Appelnotedebasdep"/>
        </w:rPr>
        <w:footnoteRef/>
      </w:r>
      <w:r w:rsidRPr="00C74EAF">
        <w:rPr>
          <w:lang w:val="en-US"/>
        </w:rPr>
        <w:t xml:space="preserve"> </w:t>
      </w:r>
      <w:r w:rsidRPr="00C74EAF">
        <w:rPr>
          <w:rFonts w:asciiTheme="minorHAnsi" w:hAnsiTheme="minorHAnsi" w:cstheme="minorHAnsi"/>
          <w:lang w:val="en-US"/>
        </w:rPr>
        <w:t>Steil, 2013</w:t>
      </w:r>
      <w:r w:rsidR="00C74EAF" w:rsidRPr="00C74EAF">
        <w:rPr>
          <w:rFonts w:asciiTheme="minorHAnsi" w:hAnsiTheme="minorHAnsi" w:cstheme="minorHAnsi"/>
          <w:lang w:val="en-US"/>
        </w:rPr>
        <w:t>,</w:t>
      </w:r>
      <w:r w:rsidR="00C74EAF" w:rsidRPr="00C74EAF">
        <w:rPr>
          <w:rFonts w:asciiTheme="minorHAnsi" w:eastAsia="Calibri" w:hAnsiTheme="minorHAnsi" w:cstheme="minorHAnsi"/>
          <w:lang w:val="en-US"/>
        </w:rPr>
        <w:t xml:space="preserve"> The Battle of Bretton Woods: John Maynard Keynes, Harry Dexter White, and the Making of a New World Order. </w:t>
      </w:r>
      <w:r w:rsidR="00C74EAF" w:rsidRPr="00217E3A">
        <w:rPr>
          <w:rFonts w:asciiTheme="minorHAnsi" w:eastAsia="Calibri" w:hAnsiTheme="minorHAnsi" w:cstheme="minorHAnsi"/>
        </w:rPr>
        <w:t>[Book]. - [s.l.] : Princeton University Press, 2013.</w:t>
      </w:r>
    </w:p>
  </w:footnote>
  <w:footnote w:id="18">
    <w:p w14:paraId="75CE45F9" w14:textId="230906D3" w:rsidR="006405ED" w:rsidRDefault="006405ED" w:rsidP="00C74EAF">
      <w:pPr>
        <w:pStyle w:val="Notedebasdepage"/>
      </w:pPr>
      <w:r>
        <w:rPr>
          <w:rStyle w:val="Appelnotedebasdep"/>
        </w:rPr>
        <w:footnoteRef/>
      </w:r>
      <w:r>
        <w:t xml:space="preserve"> </w:t>
      </w:r>
      <w:r w:rsidR="00C74EAF" w:rsidRPr="00C74EAF">
        <w:rPr>
          <w:rFonts w:asciiTheme="minorHAnsi" w:hAnsiTheme="minorHAnsi" w:cstheme="minorHAnsi"/>
        </w:rPr>
        <w:t>Pompidou, 1971,</w:t>
      </w:r>
      <w:r w:rsidR="00C74EAF" w:rsidRPr="00C74EAF">
        <w:rPr>
          <w:rFonts w:asciiTheme="minorHAnsi" w:eastAsia="Calibri" w:hAnsiTheme="minorHAnsi" w:cstheme="minorHAnsi"/>
        </w:rPr>
        <w:t xml:space="preserve"> Conférence de presse du 23 septembre 1971 // Discours et messages, Tome III, juillet 1970 - avril 1974. - Paris : Albin Michel, 1971.</w:t>
      </w:r>
    </w:p>
  </w:footnote>
  <w:footnote w:id="19">
    <w:p w14:paraId="055F54A0" w14:textId="614ECD5D" w:rsidR="006405ED" w:rsidRPr="00C74EAF" w:rsidRDefault="006405ED" w:rsidP="006405ED">
      <w:pPr>
        <w:pStyle w:val="Notedebasdepage"/>
        <w:rPr>
          <w:lang w:val="en-US"/>
        </w:rPr>
      </w:pPr>
      <w:r>
        <w:rPr>
          <w:rStyle w:val="Appelnotedebasdep"/>
        </w:rPr>
        <w:footnoteRef/>
      </w:r>
      <w:r w:rsidRPr="00C74EAF">
        <w:rPr>
          <w:lang w:val="en-US"/>
        </w:rPr>
        <w:t xml:space="preserve"> </w:t>
      </w:r>
      <w:r w:rsidR="00C74EAF" w:rsidRPr="00C74EAF">
        <w:rPr>
          <w:rFonts w:asciiTheme="minorHAnsi" w:hAnsiTheme="minorHAnsi" w:cstheme="minorHAnsi"/>
          <w:lang w:val="en-US"/>
        </w:rPr>
        <w:t xml:space="preserve">Stein, 2010, </w:t>
      </w:r>
      <w:r w:rsidR="00C74EAF" w:rsidRPr="00C74EAF">
        <w:rPr>
          <w:rFonts w:asciiTheme="minorHAnsi" w:eastAsia="Calibri" w:hAnsiTheme="minorHAnsi" w:cstheme="minorHAnsi"/>
          <w:lang w:val="en-US"/>
        </w:rPr>
        <w:t>Pivotal Decade: How the United States Traded Factories for Finance in the Seventies [Livre]. - New Haven : Yale University Press, 2010.</w:t>
      </w:r>
    </w:p>
  </w:footnote>
  <w:footnote w:id="20">
    <w:p w14:paraId="353E38A5" w14:textId="77777777" w:rsidR="006405ED" w:rsidRPr="00217E3A" w:rsidRDefault="006405ED" w:rsidP="006405ED">
      <w:pPr>
        <w:pStyle w:val="Notedebasdepage"/>
        <w:rPr>
          <w:lang w:val="en-US"/>
        </w:rPr>
      </w:pPr>
      <w:r>
        <w:rPr>
          <w:rStyle w:val="Appelnotedebasdep"/>
        </w:rPr>
        <w:footnoteRef/>
      </w:r>
      <w:r w:rsidRPr="00217E3A">
        <w:rPr>
          <w:lang w:val="en-US"/>
        </w:rPr>
        <w:t xml:space="preserve"> Niall Ferguson, 2010</w:t>
      </w:r>
    </w:p>
  </w:footnote>
  <w:footnote w:id="21">
    <w:p w14:paraId="372C28EE" w14:textId="77777777" w:rsidR="00C74EAF" w:rsidRPr="00C74EAF" w:rsidRDefault="006405ED" w:rsidP="00C74EAF">
      <w:pPr>
        <w:spacing w:after="5" w:line="250" w:lineRule="auto"/>
        <w:ind w:left="-5"/>
        <w:rPr>
          <w:rFonts w:asciiTheme="minorHAnsi" w:hAnsiTheme="minorHAnsi" w:cstheme="minorHAnsi"/>
          <w:sz w:val="20"/>
          <w:szCs w:val="20"/>
          <w:lang w:val="en-US"/>
        </w:rPr>
      </w:pPr>
      <w:r>
        <w:rPr>
          <w:rStyle w:val="Appelnotedebasdep"/>
        </w:rPr>
        <w:footnoteRef/>
      </w:r>
      <w:r w:rsidRPr="006405ED">
        <w:rPr>
          <w:lang w:val="en-US"/>
        </w:rPr>
        <w:t xml:space="preserve"> </w:t>
      </w:r>
      <w:r w:rsidR="00C74EAF" w:rsidRPr="00C74EAF">
        <w:rPr>
          <w:rFonts w:asciiTheme="minorHAnsi" w:hAnsiTheme="minorHAnsi" w:cstheme="minorHAnsi"/>
          <w:sz w:val="20"/>
          <w:szCs w:val="20"/>
          <w:lang w:val="en-US"/>
        </w:rPr>
        <w:t>Eichengreen, 1996,</w:t>
      </w:r>
      <w:r w:rsidR="00C74EAF" w:rsidRPr="00C74EAF">
        <w:rPr>
          <w:rFonts w:asciiTheme="minorHAnsi" w:eastAsia="Calibri" w:hAnsiTheme="minorHAnsi" w:cstheme="minorHAnsi"/>
          <w:sz w:val="20"/>
          <w:szCs w:val="20"/>
          <w:lang w:val="en-US"/>
        </w:rPr>
        <w:t xml:space="preserve"> Globalizing Capital: A History of the International Monetary System. </w:t>
      </w:r>
    </w:p>
    <w:p w14:paraId="2F0FE676" w14:textId="342B0329" w:rsidR="006405ED" w:rsidRPr="006405ED" w:rsidRDefault="00C74EAF" w:rsidP="00C74EAF">
      <w:pPr>
        <w:pStyle w:val="Notedebasdepage"/>
        <w:rPr>
          <w:lang w:val="en-US"/>
        </w:rPr>
      </w:pPr>
      <w:r w:rsidRPr="00C74EAF">
        <w:rPr>
          <w:rFonts w:asciiTheme="minorHAnsi" w:eastAsia="Calibri" w:hAnsiTheme="minorHAnsi" w:cstheme="minorHAnsi"/>
          <w:lang w:val="en-US"/>
        </w:rPr>
        <w:t>[Book]. - [s.l.] : Princeton University Press, 1996.</w:t>
      </w:r>
    </w:p>
  </w:footnote>
  <w:footnote w:id="22">
    <w:p w14:paraId="3C73B600" w14:textId="77777777" w:rsidR="00C74EAF" w:rsidRPr="00C74EAF" w:rsidRDefault="006405ED" w:rsidP="00C74EAF">
      <w:pPr>
        <w:spacing w:after="5" w:line="250" w:lineRule="auto"/>
        <w:ind w:left="-5"/>
        <w:rPr>
          <w:rFonts w:asciiTheme="minorHAnsi" w:hAnsiTheme="minorHAnsi" w:cstheme="minorHAnsi"/>
          <w:sz w:val="20"/>
          <w:szCs w:val="20"/>
          <w:lang w:val="en-US"/>
        </w:rPr>
      </w:pPr>
      <w:r>
        <w:rPr>
          <w:rStyle w:val="Appelnotedebasdep"/>
        </w:rPr>
        <w:footnoteRef/>
      </w:r>
      <w:r w:rsidRPr="006405ED">
        <w:rPr>
          <w:lang w:val="en-US"/>
        </w:rPr>
        <w:t xml:space="preserve"> </w:t>
      </w:r>
      <w:r w:rsidR="00C74EAF" w:rsidRPr="00C74EAF">
        <w:rPr>
          <w:rFonts w:asciiTheme="minorHAnsi" w:hAnsiTheme="minorHAnsi" w:cstheme="minorHAnsi"/>
          <w:sz w:val="20"/>
          <w:szCs w:val="20"/>
          <w:lang w:val="en-US"/>
        </w:rPr>
        <w:t xml:space="preserve">Schulman, 2001, </w:t>
      </w:r>
      <w:r w:rsidR="00C74EAF" w:rsidRPr="00C74EAF">
        <w:rPr>
          <w:rFonts w:asciiTheme="minorHAnsi" w:eastAsia="Calibri" w:hAnsiTheme="minorHAnsi" w:cstheme="minorHAnsi"/>
          <w:sz w:val="20"/>
          <w:szCs w:val="20"/>
          <w:lang w:val="en-US"/>
        </w:rPr>
        <w:t xml:space="preserve">The Seventies: The Great Shift in American Culture, Society, and Politics. </w:t>
      </w:r>
    </w:p>
    <w:p w14:paraId="10091283" w14:textId="3E19E389" w:rsidR="006405ED" w:rsidRPr="006405ED" w:rsidRDefault="00C74EAF" w:rsidP="00C74EAF">
      <w:pPr>
        <w:pStyle w:val="Notedebasdepage"/>
        <w:rPr>
          <w:lang w:val="en-US"/>
        </w:rPr>
      </w:pPr>
      <w:r w:rsidRPr="00C74EAF">
        <w:rPr>
          <w:rFonts w:asciiTheme="minorHAnsi" w:eastAsia="Calibri" w:hAnsiTheme="minorHAnsi" w:cstheme="minorHAnsi"/>
          <w:lang w:val="en-US"/>
        </w:rPr>
        <w:t>[</w:t>
      </w:r>
      <w:r>
        <w:rPr>
          <w:rFonts w:asciiTheme="minorHAnsi" w:eastAsia="Calibri" w:hAnsiTheme="minorHAnsi" w:cstheme="minorHAnsi"/>
          <w:lang w:val="en-US"/>
        </w:rPr>
        <w:t>Book</w:t>
      </w:r>
      <w:r w:rsidRPr="00C74EAF">
        <w:rPr>
          <w:rFonts w:asciiTheme="minorHAnsi" w:eastAsia="Calibri" w:hAnsiTheme="minorHAnsi" w:cstheme="minorHAnsi"/>
          <w:lang w:val="en-US"/>
        </w:rPr>
        <w:t>]. - [s.l.] : Da Capo Press, 2001.</w:t>
      </w:r>
    </w:p>
  </w:footnote>
  <w:footnote w:id="23">
    <w:p w14:paraId="4717F6AB" w14:textId="75C83BF7" w:rsidR="006405ED" w:rsidRPr="006405ED" w:rsidRDefault="006405ED" w:rsidP="006405ED">
      <w:pPr>
        <w:pStyle w:val="Notedebasdepage"/>
        <w:rPr>
          <w:lang w:val="en-US"/>
        </w:rPr>
      </w:pPr>
      <w:r>
        <w:rPr>
          <w:rStyle w:val="Appelnotedebasdep"/>
        </w:rPr>
        <w:footnoteRef/>
      </w:r>
      <w:r w:rsidRPr="006405ED">
        <w:rPr>
          <w:lang w:val="en-US"/>
        </w:rPr>
        <w:t xml:space="preserve"> </w:t>
      </w:r>
      <w:r w:rsidR="00C74EAF" w:rsidRPr="00C74EAF">
        <w:rPr>
          <w:rFonts w:asciiTheme="minorHAnsi" w:hAnsiTheme="minorHAnsi" w:cstheme="minorHAnsi"/>
          <w:lang w:val="en-US"/>
        </w:rPr>
        <w:t xml:space="preserve">Stein, 2010, </w:t>
      </w:r>
      <w:r w:rsidR="00C74EAF" w:rsidRPr="00C74EAF">
        <w:rPr>
          <w:rFonts w:asciiTheme="minorHAnsi" w:eastAsia="Calibri" w:hAnsiTheme="minorHAnsi" w:cstheme="minorHAnsi"/>
          <w:lang w:val="en-US"/>
        </w:rPr>
        <w:t>Pivotal Decade: How the United States Traded Factories for Finance in the Seventies [Livre]. - New Haven : Yale University Press, 2010.</w:t>
      </w:r>
    </w:p>
  </w:footnote>
  <w:footnote w:id="24">
    <w:p w14:paraId="7D5ED81B" w14:textId="07AFA036" w:rsidR="006405ED" w:rsidRPr="00C74EAF" w:rsidRDefault="006405ED" w:rsidP="003B5ABF">
      <w:pPr>
        <w:spacing w:after="5" w:line="250" w:lineRule="auto"/>
        <w:ind w:left="-5"/>
        <w:rPr>
          <w:lang w:val="en-US"/>
        </w:rPr>
      </w:pPr>
      <w:r>
        <w:rPr>
          <w:rStyle w:val="Appelnotedebasdep"/>
        </w:rPr>
        <w:footnoteRef/>
      </w:r>
      <w:r w:rsidRPr="00C74EAF">
        <w:rPr>
          <w:lang w:val="en-US"/>
        </w:rPr>
        <w:t xml:space="preserve"> </w:t>
      </w:r>
      <w:r w:rsidRPr="003B5ABF">
        <w:rPr>
          <w:rFonts w:asciiTheme="minorHAnsi" w:hAnsiTheme="minorHAnsi" w:cstheme="minorHAnsi"/>
          <w:sz w:val="20"/>
          <w:szCs w:val="20"/>
          <w:lang w:val="en-US"/>
        </w:rPr>
        <w:t>Galbraith, 1977</w:t>
      </w:r>
      <w:r w:rsidR="003B5ABF" w:rsidRPr="003B5ABF">
        <w:rPr>
          <w:rFonts w:asciiTheme="minorHAnsi" w:hAnsiTheme="minorHAnsi" w:cstheme="minorHAnsi"/>
          <w:sz w:val="20"/>
          <w:szCs w:val="20"/>
          <w:lang w:val="en-US"/>
        </w:rPr>
        <w:t xml:space="preserve">, </w:t>
      </w:r>
      <w:r w:rsidR="003B5ABF" w:rsidRPr="003B5ABF">
        <w:rPr>
          <w:rFonts w:asciiTheme="minorHAnsi" w:eastAsia="Calibri" w:hAnsiTheme="minorHAnsi" w:cstheme="minorHAnsi"/>
          <w:sz w:val="20"/>
          <w:szCs w:val="20"/>
          <w:lang w:val="en-US"/>
        </w:rPr>
        <w:t>The Age of Uncertainty. [Book]. - [s.l.] : Houghton Mifflin, 1977.</w:t>
      </w:r>
      <w:r w:rsidR="003B5ABF" w:rsidRPr="00001CC0">
        <w:rPr>
          <w:rFonts w:ascii="Calibri" w:eastAsia="Calibri" w:hAnsi="Calibri" w:cs="Calibri"/>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CD"/>
    <w:rsid w:val="000833C9"/>
    <w:rsid w:val="00094FC7"/>
    <w:rsid w:val="0010688D"/>
    <w:rsid w:val="00140236"/>
    <w:rsid w:val="00142832"/>
    <w:rsid w:val="00162B85"/>
    <w:rsid w:val="001B6CD0"/>
    <w:rsid w:val="0020296E"/>
    <w:rsid w:val="00217E3A"/>
    <w:rsid w:val="00233A06"/>
    <w:rsid w:val="002350C9"/>
    <w:rsid w:val="00277D92"/>
    <w:rsid w:val="00297447"/>
    <w:rsid w:val="002B08D3"/>
    <w:rsid w:val="002B6714"/>
    <w:rsid w:val="003470CD"/>
    <w:rsid w:val="00352CAE"/>
    <w:rsid w:val="0035614E"/>
    <w:rsid w:val="003B5ABF"/>
    <w:rsid w:val="003E1C24"/>
    <w:rsid w:val="003E37CB"/>
    <w:rsid w:val="003F5B91"/>
    <w:rsid w:val="004023F0"/>
    <w:rsid w:val="00431557"/>
    <w:rsid w:val="00461E5C"/>
    <w:rsid w:val="00464D21"/>
    <w:rsid w:val="004B23B9"/>
    <w:rsid w:val="004F3EFB"/>
    <w:rsid w:val="00552E10"/>
    <w:rsid w:val="005D3FB3"/>
    <w:rsid w:val="00604273"/>
    <w:rsid w:val="006405ED"/>
    <w:rsid w:val="00697D31"/>
    <w:rsid w:val="006A0FEB"/>
    <w:rsid w:val="006B5004"/>
    <w:rsid w:val="006E12EB"/>
    <w:rsid w:val="00705108"/>
    <w:rsid w:val="007440D8"/>
    <w:rsid w:val="007464EB"/>
    <w:rsid w:val="00780844"/>
    <w:rsid w:val="0083515C"/>
    <w:rsid w:val="0089750D"/>
    <w:rsid w:val="008F50AC"/>
    <w:rsid w:val="00902D58"/>
    <w:rsid w:val="00990D3E"/>
    <w:rsid w:val="009B55C4"/>
    <w:rsid w:val="009C170D"/>
    <w:rsid w:val="009F1110"/>
    <w:rsid w:val="00A87196"/>
    <w:rsid w:val="00A87CBE"/>
    <w:rsid w:val="00A93E8E"/>
    <w:rsid w:val="00AE3654"/>
    <w:rsid w:val="00AF1015"/>
    <w:rsid w:val="00B265BA"/>
    <w:rsid w:val="00B335A1"/>
    <w:rsid w:val="00B66252"/>
    <w:rsid w:val="00B877CC"/>
    <w:rsid w:val="00BD59D2"/>
    <w:rsid w:val="00C02A25"/>
    <w:rsid w:val="00C057A0"/>
    <w:rsid w:val="00C166A8"/>
    <w:rsid w:val="00C64D42"/>
    <w:rsid w:val="00C74EAF"/>
    <w:rsid w:val="00C97B1A"/>
    <w:rsid w:val="00D006BD"/>
    <w:rsid w:val="00D113F3"/>
    <w:rsid w:val="00D54C11"/>
    <w:rsid w:val="00D864EF"/>
    <w:rsid w:val="00DA3BD4"/>
    <w:rsid w:val="00DA418E"/>
    <w:rsid w:val="00DE5AFC"/>
    <w:rsid w:val="00DF58E4"/>
    <w:rsid w:val="00E028B7"/>
    <w:rsid w:val="00E314A2"/>
    <w:rsid w:val="00E439AD"/>
    <w:rsid w:val="00E96F95"/>
    <w:rsid w:val="00EA04F1"/>
    <w:rsid w:val="00EA6A93"/>
    <w:rsid w:val="00F26E55"/>
    <w:rsid w:val="00F409C3"/>
    <w:rsid w:val="00F55C2C"/>
    <w:rsid w:val="00F6186B"/>
    <w:rsid w:val="00F66BE4"/>
    <w:rsid w:val="00FA0C24"/>
    <w:rsid w:val="00FB2927"/>
    <w:rsid w:val="00FB30DB"/>
    <w:rsid w:val="00FB4074"/>
    <w:rsid w:val="00FB776A"/>
    <w:rsid w:val="00FC4074"/>
    <w:rsid w:val="0BF5655C"/>
    <w:rsid w:val="1B8E220C"/>
    <w:rsid w:val="2B35E552"/>
    <w:rsid w:val="2E1D8966"/>
    <w:rsid w:val="376453CC"/>
    <w:rsid w:val="3FE546D0"/>
    <w:rsid w:val="4F8C6665"/>
    <w:rsid w:val="546BD7FD"/>
    <w:rsid w:val="64A69D1B"/>
    <w:rsid w:val="78330C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BDCE"/>
  <w15:chartTrackingRefBased/>
  <w15:docId w15:val="{57248872-7526-4465-9BE7-047DD130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6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E96F95"/>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96F95"/>
    <w:pPr>
      <w:contextualSpacing/>
    </w:pPr>
    <w:rPr>
      <w:rFonts w:asciiTheme="majorHAnsi" w:eastAsiaTheme="majorEastAsia" w:hAnsiTheme="majorHAnsi" w:cstheme="majorBidi"/>
      <w:spacing w:val="-10"/>
      <w:kern w:val="28"/>
      <w:sz w:val="56"/>
      <w:szCs w:val="56"/>
      <w:lang w:val="en-GB" w:eastAsia="en-US"/>
    </w:rPr>
  </w:style>
  <w:style w:type="character" w:customStyle="1" w:styleId="TitreCar">
    <w:name w:val="Titre Car"/>
    <w:basedOn w:val="Policepardfaut"/>
    <w:link w:val="Titre"/>
    <w:uiPriority w:val="10"/>
    <w:rsid w:val="00E96F95"/>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E96F95"/>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E96F95"/>
    <w:pPr>
      <w:spacing w:before="120" w:after="120"/>
    </w:pPr>
    <w:rPr>
      <w:rFonts w:asciiTheme="minorHAnsi" w:eastAsiaTheme="minorHAnsi" w:hAnsiTheme="minorHAnsi" w:cstheme="minorHAnsi"/>
      <w:b/>
      <w:bCs/>
      <w:caps/>
      <w:sz w:val="20"/>
      <w:szCs w:val="20"/>
      <w:lang w:val="en-GB" w:eastAsia="en-US"/>
    </w:rPr>
  </w:style>
  <w:style w:type="paragraph" w:styleId="TM2">
    <w:name w:val="toc 2"/>
    <w:basedOn w:val="Normal"/>
    <w:next w:val="Normal"/>
    <w:autoRedefine/>
    <w:uiPriority w:val="39"/>
    <w:unhideWhenUsed/>
    <w:rsid w:val="00E96F95"/>
    <w:pPr>
      <w:ind w:left="240"/>
    </w:pPr>
    <w:rPr>
      <w:rFonts w:asciiTheme="minorHAnsi" w:eastAsiaTheme="minorHAnsi" w:hAnsiTheme="minorHAnsi" w:cstheme="minorHAnsi"/>
      <w:smallCaps/>
      <w:sz w:val="20"/>
      <w:szCs w:val="20"/>
      <w:lang w:val="en-GB" w:eastAsia="en-US"/>
    </w:rPr>
  </w:style>
  <w:style w:type="paragraph" w:styleId="TM3">
    <w:name w:val="toc 3"/>
    <w:basedOn w:val="Normal"/>
    <w:next w:val="Normal"/>
    <w:autoRedefine/>
    <w:uiPriority w:val="39"/>
    <w:unhideWhenUsed/>
    <w:rsid w:val="00E96F95"/>
    <w:pPr>
      <w:ind w:left="480"/>
    </w:pPr>
    <w:rPr>
      <w:rFonts w:asciiTheme="minorHAnsi" w:eastAsiaTheme="minorHAnsi" w:hAnsiTheme="minorHAnsi" w:cstheme="minorHAnsi"/>
      <w:i/>
      <w:iCs/>
      <w:sz w:val="20"/>
      <w:szCs w:val="20"/>
      <w:lang w:val="en-GB" w:eastAsia="en-US"/>
    </w:rPr>
  </w:style>
  <w:style w:type="paragraph" w:styleId="TM4">
    <w:name w:val="toc 4"/>
    <w:basedOn w:val="Normal"/>
    <w:next w:val="Normal"/>
    <w:autoRedefine/>
    <w:uiPriority w:val="39"/>
    <w:unhideWhenUsed/>
    <w:rsid w:val="00E96F95"/>
    <w:pPr>
      <w:ind w:left="720"/>
    </w:pPr>
    <w:rPr>
      <w:rFonts w:asciiTheme="minorHAnsi" w:eastAsiaTheme="minorHAnsi" w:hAnsiTheme="minorHAnsi" w:cstheme="minorHAnsi"/>
      <w:sz w:val="18"/>
      <w:szCs w:val="18"/>
      <w:lang w:val="en-GB" w:eastAsia="en-US"/>
    </w:rPr>
  </w:style>
  <w:style w:type="paragraph" w:styleId="TM5">
    <w:name w:val="toc 5"/>
    <w:basedOn w:val="Normal"/>
    <w:next w:val="Normal"/>
    <w:autoRedefine/>
    <w:uiPriority w:val="39"/>
    <w:unhideWhenUsed/>
    <w:rsid w:val="00E96F95"/>
    <w:pPr>
      <w:ind w:left="960"/>
    </w:pPr>
    <w:rPr>
      <w:rFonts w:asciiTheme="minorHAnsi" w:eastAsiaTheme="minorHAnsi" w:hAnsiTheme="minorHAnsi" w:cstheme="minorHAnsi"/>
      <w:sz w:val="18"/>
      <w:szCs w:val="18"/>
      <w:lang w:val="en-GB" w:eastAsia="en-US"/>
    </w:rPr>
  </w:style>
  <w:style w:type="paragraph" w:styleId="TM6">
    <w:name w:val="toc 6"/>
    <w:basedOn w:val="Normal"/>
    <w:next w:val="Normal"/>
    <w:autoRedefine/>
    <w:uiPriority w:val="39"/>
    <w:unhideWhenUsed/>
    <w:rsid w:val="00E96F95"/>
    <w:pPr>
      <w:ind w:left="1200"/>
    </w:pPr>
    <w:rPr>
      <w:rFonts w:asciiTheme="minorHAnsi" w:eastAsiaTheme="minorHAnsi" w:hAnsiTheme="minorHAnsi" w:cstheme="minorHAnsi"/>
      <w:sz w:val="18"/>
      <w:szCs w:val="18"/>
      <w:lang w:val="en-GB" w:eastAsia="en-US"/>
    </w:rPr>
  </w:style>
  <w:style w:type="paragraph" w:styleId="TM7">
    <w:name w:val="toc 7"/>
    <w:basedOn w:val="Normal"/>
    <w:next w:val="Normal"/>
    <w:autoRedefine/>
    <w:uiPriority w:val="39"/>
    <w:unhideWhenUsed/>
    <w:rsid w:val="00E96F95"/>
    <w:pPr>
      <w:ind w:left="1440"/>
    </w:pPr>
    <w:rPr>
      <w:rFonts w:asciiTheme="minorHAnsi" w:eastAsiaTheme="minorHAnsi" w:hAnsiTheme="minorHAnsi" w:cstheme="minorHAnsi"/>
      <w:sz w:val="18"/>
      <w:szCs w:val="18"/>
      <w:lang w:val="en-GB" w:eastAsia="en-US"/>
    </w:rPr>
  </w:style>
  <w:style w:type="paragraph" w:styleId="TM8">
    <w:name w:val="toc 8"/>
    <w:basedOn w:val="Normal"/>
    <w:next w:val="Normal"/>
    <w:autoRedefine/>
    <w:uiPriority w:val="39"/>
    <w:unhideWhenUsed/>
    <w:rsid w:val="00E96F95"/>
    <w:pPr>
      <w:ind w:left="1680"/>
    </w:pPr>
    <w:rPr>
      <w:rFonts w:asciiTheme="minorHAnsi" w:eastAsiaTheme="minorHAnsi" w:hAnsiTheme="minorHAnsi" w:cstheme="minorHAnsi"/>
      <w:sz w:val="18"/>
      <w:szCs w:val="18"/>
      <w:lang w:val="en-GB" w:eastAsia="en-US"/>
    </w:rPr>
  </w:style>
  <w:style w:type="paragraph" w:styleId="TM9">
    <w:name w:val="toc 9"/>
    <w:basedOn w:val="Normal"/>
    <w:next w:val="Normal"/>
    <w:autoRedefine/>
    <w:uiPriority w:val="39"/>
    <w:unhideWhenUsed/>
    <w:rsid w:val="00E96F95"/>
    <w:pPr>
      <w:ind w:left="1920"/>
    </w:pPr>
    <w:rPr>
      <w:rFonts w:asciiTheme="minorHAnsi" w:eastAsiaTheme="minorHAnsi" w:hAnsiTheme="minorHAnsi" w:cstheme="minorHAnsi"/>
      <w:sz w:val="18"/>
      <w:szCs w:val="18"/>
      <w:lang w:val="en-GB" w:eastAsia="en-US"/>
    </w:rPr>
  </w:style>
  <w:style w:type="character" w:styleId="Lienhypertexte">
    <w:name w:val="Hyperlink"/>
    <w:basedOn w:val="Policepardfaut"/>
    <w:uiPriority w:val="99"/>
    <w:unhideWhenUsed/>
    <w:rsid w:val="00E96F95"/>
    <w:rPr>
      <w:color w:val="0563C1" w:themeColor="hyperlink"/>
      <w:u w:val="single"/>
    </w:rPr>
  </w:style>
  <w:style w:type="paragraph" w:styleId="En-tte">
    <w:name w:val="header"/>
    <w:basedOn w:val="Normal"/>
    <w:link w:val="En-tteCar"/>
    <w:uiPriority w:val="99"/>
    <w:unhideWhenUsed/>
    <w:rsid w:val="00EA04F1"/>
    <w:pPr>
      <w:tabs>
        <w:tab w:val="center" w:pos="4536"/>
        <w:tab w:val="right" w:pos="9072"/>
      </w:tabs>
    </w:pPr>
    <w:rPr>
      <w:rFonts w:asciiTheme="minorHAnsi" w:eastAsiaTheme="minorHAnsi" w:hAnsiTheme="minorHAnsi" w:cstheme="minorBidi"/>
      <w:lang w:val="en-GB" w:eastAsia="en-US"/>
    </w:rPr>
  </w:style>
  <w:style w:type="character" w:customStyle="1" w:styleId="En-tteCar">
    <w:name w:val="En-tête Car"/>
    <w:basedOn w:val="Policepardfaut"/>
    <w:link w:val="En-tte"/>
    <w:uiPriority w:val="99"/>
    <w:rsid w:val="00EA04F1"/>
  </w:style>
  <w:style w:type="paragraph" w:styleId="Pieddepage">
    <w:name w:val="footer"/>
    <w:basedOn w:val="Normal"/>
    <w:link w:val="PieddepageCar"/>
    <w:uiPriority w:val="99"/>
    <w:unhideWhenUsed/>
    <w:rsid w:val="00EA04F1"/>
    <w:pPr>
      <w:tabs>
        <w:tab w:val="center" w:pos="4536"/>
        <w:tab w:val="right" w:pos="9072"/>
      </w:tabs>
    </w:pPr>
    <w:rPr>
      <w:rFonts w:asciiTheme="minorHAnsi" w:eastAsiaTheme="minorHAnsi" w:hAnsiTheme="minorHAnsi" w:cstheme="minorBidi"/>
      <w:lang w:val="en-GB" w:eastAsia="en-US"/>
    </w:rPr>
  </w:style>
  <w:style w:type="character" w:customStyle="1" w:styleId="PieddepageCar">
    <w:name w:val="Pied de page Car"/>
    <w:basedOn w:val="Policepardfaut"/>
    <w:link w:val="Pieddepage"/>
    <w:uiPriority w:val="99"/>
    <w:rsid w:val="00EA04F1"/>
  </w:style>
  <w:style w:type="character" w:styleId="Numrodepage">
    <w:name w:val="page number"/>
    <w:basedOn w:val="Policepardfaut"/>
    <w:uiPriority w:val="99"/>
    <w:semiHidden/>
    <w:unhideWhenUsed/>
    <w:rsid w:val="00EA04F1"/>
  </w:style>
  <w:style w:type="paragraph" w:styleId="Sansinterligne">
    <w:name w:val="No Spacing"/>
    <w:link w:val="SansinterligneCar"/>
    <w:uiPriority w:val="1"/>
    <w:qFormat/>
    <w:rsid w:val="00EA04F1"/>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EA04F1"/>
    <w:rPr>
      <w:rFonts w:eastAsiaTheme="minorEastAsia"/>
      <w:sz w:val="22"/>
      <w:szCs w:val="22"/>
      <w:lang w:val="en-US" w:eastAsia="zh-CN"/>
    </w:rPr>
  </w:style>
  <w:style w:type="paragraph" w:styleId="Notedebasdepage">
    <w:name w:val="footnote text"/>
    <w:basedOn w:val="Normal"/>
    <w:link w:val="NotedebasdepageCar"/>
    <w:uiPriority w:val="99"/>
    <w:semiHidden/>
    <w:unhideWhenUsed/>
    <w:rsid w:val="006405ED"/>
    <w:pPr>
      <w:ind w:left="10" w:hanging="10"/>
      <w:jc w:val="both"/>
    </w:pPr>
    <w:rPr>
      <w:rFonts w:ascii="Arial" w:eastAsia="Arial" w:hAnsi="Arial" w:cs="Arial"/>
      <w:color w:val="000000"/>
      <w:kern w:val="2"/>
      <w:sz w:val="20"/>
      <w:szCs w:val="20"/>
      <w14:ligatures w14:val="standardContextual"/>
    </w:rPr>
  </w:style>
  <w:style w:type="character" w:customStyle="1" w:styleId="NotedebasdepageCar">
    <w:name w:val="Note de bas de page Car"/>
    <w:basedOn w:val="Policepardfaut"/>
    <w:link w:val="Notedebasdepage"/>
    <w:uiPriority w:val="99"/>
    <w:semiHidden/>
    <w:rsid w:val="006405ED"/>
    <w:rPr>
      <w:rFonts w:ascii="Arial" w:eastAsia="Arial" w:hAnsi="Arial" w:cs="Arial"/>
      <w:color w:val="000000"/>
      <w:kern w:val="2"/>
      <w:sz w:val="20"/>
      <w:szCs w:val="20"/>
      <w:lang w:eastAsia="fr-FR"/>
      <w14:ligatures w14:val="standardContextual"/>
    </w:rPr>
  </w:style>
  <w:style w:type="character" w:styleId="Appelnotedebasdep">
    <w:name w:val="footnote reference"/>
    <w:basedOn w:val="Policepardfaut"/>
    <w:uiPriority w:val="99"/>
    <w:semiHidden/>
    <w:unhideWhenUsed/>
    <w:rsid w:val="006405ED"/>
    <w:rPr>
      <w:vertAlign w:val="superscript"/>
    </w:rPr>
  </w:style>
  <w:style w:type="paragraph" w:styleId="NormalWeb">
    <w:name w:val="Normal (Web)"/>
    <w:basedOn w:val="Normal"/>
    <w:uiPriority w:val="99"/>
    <w:semiHidden/>
    <w:unhideWhenUsed/>
    <w:rsid w:val="002029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5T07:28:14.421"/>
    </inkml:context>
    <inkml:brush xml:id="br0">
      <inkml:brushProperty name="width" value="0.35" units="cm"/>
      <inkml:brushProperty name="height" value="0.35" units="cm"/>
      <inkml:brushProperty name="color" value="#FFFFFF"/>
    </inkml:brush>
  </inkml:definitions>
  <inkml:trace contextRef="#ctx0" brushRef="#br0">432 573 24575,'86'11'0,"-48"-5"0,35-10 0,-49-45 0,-6 20 0,2-23 0,-16 34 0,-4 3 0,0 0 0,0-4 0,0 9 0,0-9 0,-4 9 0,-1-4 0,-9 4 0,-1 1 0,-5-1 0,0 0 0,5 4 0,-3 2 0,7 4 0,-2 0 0,3 0 0,1 0 0,0 0 0,0 0 0,0 0 0,0 4 0,4 5 0,0 1 0,5 3 0,0-4 0,9-4 0,1-5 0,0-5 0,-2-9 0,-4 4 0,-3-9 0,3 9 0,-4-14 0,0 8 0,-10-15 0,-7 4 0,-24-8 0,-8 0 0,-19 3 0,12 8 0,-11 0 0,13 11 0,0 0 0,7 8 0,15 5 0,7 0 0,14 9 0,2 2 0,24 15 0,3-4 0,21 0 0,0-1 0,7-8 0,6 3 0,-4-4 0,4-6 0,-6-1 0,-1-5 0,-5 0 0,-8-8 0,0-10 0,-15-3 0,3-5 0,-10 6 0,-1 5 0,-3 1 0,-6 9 0,-14 1 0,3 4 0,-7 0 0,8 0 0,1 0 0,0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5T07:28:01.264"/>
    </inkml:context>
    <inkml:brush xml:id="br0">
      <inkml:brushProperty name="width" value="0.05" units="cm"/>
      <inkml:brushProperty name="height" value="0.05" units="cm"/>
      <inkml:brushProperty name="color" value="#E71224"/>
    </inkml:brush>
  </inkml:definitions>
  <inkml:trace contextRef="#ctx0" brushRef="#br0">269 59 24575,'-9'0'0,"0"0"0,21 0 0,-4 0 0,20 0 0,-13 0 0,-1 0 0,0 0 0,-4 0 0,4 0 0,-5-5 0,0 4 0,-4-7 0,-1 3 0,-4-4 0,-4 4 0,-6 1 0,-1 0 0,-7 3 0,8-3 0,-4 4 0,0 0 0,4 0 0,-4 0 0,5 0 0,-1 4 0,1 1 0,4 4 0,-3 0 0,7 0 0,-7-4 0,7 3 0,-3-3 0,4 4 0,0 0 0,0 0 0,0 0 0,0 0 0,0 0 0,-4-4 0,-6-1 0,-11-4 0,-5 0 0,-1 0 0,-3 0 0,9 5 0,-4 0 0,5 9 0,4 2 0,2-1 0,5-2 0,4-4 0,1 0 0,4 0 0,4-4 0,6-1 0,0-4 0,8-4 0,-3 3 0,0-12 0,4 6 0,-8-7 0,3 0 0,-5 4 0,0-9 0,-3 9 0,2-9 0,-7 9 0,4-4 0,-5 0 0,0 4 0,0-4 0,-4 9 0,-1 1 0,-5 4 0,5 4 0,1 1 0,4 4 0,0 0 0,4 0 0,1-4 0,9-1 0,1-4 0,0 0 0,3 0 0,-3 0 0,5 0 0,-5 0 0,3 0 0,-7 0 0,2-4 0,-4 3 0,-4-7 0,-1 3 0,-12-5 0,-9 0 0,-4 5 0,-9-5 0,8 9 0,-3-4 0,6 5 0,4 0 0,1 0 0,4 0 0,1 0 0,4 4 0,1 1 0,4 4 0,0 0 0,0 1 0,0 3 0,0-2 0,0 2 0,0-4 0,0 0 0,4-4 0,1-1 0,9-4 0,-4 0 0,9 0 0,-9 0 0,8 0 0,-7-4 0,3-11 0,-5 3 0,-3-17 0,-2 17 0,-4-12 0,0 14 0,0-4 0,0 5 0,-4 4 0,-6 1 0,-5 4 0,-5 0 0,1 0 0,4 4 0,-4 6 0,8 5 0,1 4 0,1 6 0,8-4 0,-4 4 0,5-5 0,0-5 0,0-1 0,0-5 0,0 0 0,4 0 0,1 0 0,4-4 0,5-1 0,1-4 0,0 0 0,3 0 0,-3-5 0,5 0 0,-5-9 0,4-2 0,-8-4 0,3 5 0,-5 2 0,0 3 0,-4 1 0,-1 0 0,-8 4 0,-6 1 0,0 4 0,-4 0 0,5 0 0,0 0 0,0 0 0,3 4 0,2 1 0,4 4 0,0 0 0,0 0 0,0 0 0,0 0 0,4-4 0,1-1 0,4-4 0,1-4 0,-5-1 0,-1-4 0,-4 0 0,0 8 0,0 6 0,0 5 0,0 3 0,0-4 0,4-4 0,1 3 0,4-7 0,0 3 0,0-4 0,0 0 0,5 0 0,-4 0 0,4 0 0,-5 0 0,0 0 0,0 0 0,0 0 0,-4 4 0,-1 1 0,-4 4 0,0 0 0,-5 5 0,0-4 0,0 4 0,-4 0 0,4-4 0,0 4 0,1-5 0,0 0 0,3 0 0,-4-8 0,5-2 0,-8-9 0,1 1 0,-17-1 0,3 0 0,-6-1 0,-3 1 0,8 0 0,-3-1 0,6 2 0,4 3 0,1-2 0,4 7 0,1-4 0,4 1 0,1-1 0,4-4 0,0 0 0,0 0 0,0 8 0,0 6 0,0 5 0,-4 3 0,3-4 0,6-4 0,6-10 0,8-6 0,1-8 0,0-1 0,-1 4 0,-4-2 0,-1 11 0,-4-6 0,-1 12 0,-4 1 0,-1 15 0,-9 2 0,0 8 0,-5-10 0,5-2 0,-3-4 0,7 1 0,5-14 0,7-3 0,4-13 0,4 5 0,-8 1 0,2 4 0,-4 5 0,-4 5 0,-5 10 0,-10 5 0,-1 4 0,-8 1 0,9-5 0,0-1 0,2-5 0,7 0 0,1-8 0,5-2 0,4-13 0,0 8 0,1-7 0,-5 16 0,-1-2 0,-4 8 0,0 0 0,-4 0 0,3-13 0,1 2 0,9-17 0,2 9 0,7-4 0,-8 5 0,4 3 0,-5-2 0,-4 16 0,-5-1 0,-6 12 0,-4 1 0,5-1 0,-4-4 0,8-1 0,6-13 0,1-7 0,8-5 0,-4 1 0,-1 2 0,0 7 0,-4 1 0,-1 5 0,-8 4 0,-2 5 0,-3-4 0,4 4 0,1-5 0,8-8 0,1-2 0,4-4 0,-4 1 0,-1 4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496453-7929-4627-90fd-41f3a3e5d1c9">
      <Terms xmlns="http://schemas.microsoft.com/office/infopath/2007/PartnerControls"/>
    </lcf76f155ced4ddcb4097134ff3c332f>
    <TaxCatchAll xmlns="04477df4-52d8-42d6-8d2c-41c7cf735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634F21855444E9FD7B94887CF73CA" ma:contentTypeVersion="11" ma:contentTypeDescription="Crée un document." ma:contentTypeScope="" ma:versionID="275a995bd9361858e31c8baa8c4618f8">
  <xsd:schema xmlns:xsd="http://www.w3.org/2001/XMLSchema" xmlns:xs="http://www.w3.org/2001/XMLSchema" xmlns:p="http://schemas.microsoft.com/office/2006/metadata/properties" xmlns:ns2="36496453-7929-4627-90fd-41f3a3e5d1c9" xmlns:ns3="04477df4-52d8-42d6-8d2c-41c7cf735126" targetNamespace="http://schemas.microsoft.com/office/2006/metadata/properties" ma:root="true" ma:fieldsID="39fd40e32b85142c799062492acfb7d3" ns2:_="" ns3:_="">
    <xsd:import namespace="36496453-7929-4627-90fd-41f3a3e5d1c9"/>
    <xsd:import namespace="04477df4-52d8-42d6-8d2c-41c7cf735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96453-7929-4627-90fd-41f3a3e5d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7ceac13-7052-4231-a119-8be0af58b7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77df4-52d8-42d6-8d2c-41c7cf7351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29ae97-f498-469a-91eb-55a4ad5ccc59}" ma:internalName="TaxCatchAll" ma:showField="CatchAllData" ma:web="04477df4-52d8-42d6-8d2c-41c7cf735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32A15-4018-4A94-810D-733F5956A7FA}">
  <ds:schemaRefs>
    <ds:schemaRef ds:uri="http://schemas.microsoft.com/office/2006/metadata/properties"/>
    <ds:schemaRef ds:uri="http://schemas.microsoft.com/office/infopath/2007/PartnerControls"/>
    <ds:schemaRef ds:uri="36496453-7929-4627-90fd-41f3a3e5d1c9"/>
    <ds:schemaRef ds:uri="04477df4-52d8-42d6-8d2c-41c7cf735126"/>
  </ds:schemaRefs>
</ds:datastoreItem>
</file>

<file path=customXml/itemProps2.xml><?xml version="1.0" encoding="utf-8"?>
<ds:datastoreItem xmlns:ds="http://schemas.openxmlformats.org/officeDocument/2006/customXml" ds:itemID="{E0E55D8E-AFB1-432A-91AB-6F3471F96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96453-7929-4627-90fd-41f3a3e5d1c9"/>
    <ds:schemaRef ds:uri="04477df4-52d8-42d6-8d2c-41c7cf735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693D4-4127-42D1-ACFD-168C14403E00}">
  <ds:schemaRefs>
    <ds:schemaRef ds:uri="http://schemas.microsoft.com/sharepoint/v3/contenttype/forms"/>
  </ds:schemaRefs>
</ds:datastoreItem>
</file>

<file path=customXml/itemProps4.xml><?xml version="1.0" encoding="utf-8"?>
<ds:datastoreItem xmlns:ds="http://schemas.openxmlformats.org/officeDocument/2006/customXml" ds:itemID="{A4FEE122-9676-3C4A-A51B-F8E1174E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2520</Words>
  <Characters>13866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Question</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dc:title>
  <dc:subject>History Internal assessment 2025</dc:subject>
  <dc:creator>Pierre-Ange Delbary Rouillé</dc:creator>
  <cp:keywords/>
  <dc:description/>
  <cp:lastModifiedBy>User</cp:lastModifiedBy>
  <cp:revision>7</cp:revision>
  <cp:lastPrinted>2024-09-15T21:58:00Z</cp:lastPrinted>
  <dcterms:created xsi:type="dcterms:W3CDTF">2024-09-15T20:58:00Z</dcterms:created>
  <dcterms:modified xsi:type="dcterms:W3CDTF">2025-04-03T21:26:00Z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0x010100523634F21855444E9FD7B94887CF73CA</vt:lpwstr>
  </property>
</Properties>
</file>